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0A32B" w14:textId="77777777" w:rsidR="00DE33BF" w:rsidRPr="006550C2" w:rsidRDefault="006550C2" w:rsidP="006550C2">
      <w:pPr>
        <w:pBdr>
          <w:top w:val="nil"/>
          <w:left w:val="nil"/>
          <w:bottom w:val="nil"/>
          <w:right w:val="nil"/>
          <w:between w:val="nil"/>
        </w:pBdr>
        <w:rPr>
          <w:rFonts w:ascii="Arial" w:eastAsia="Arial" w:hAnsi="Arial" w:cs="Arial"/>
          <w:b/>
          <w:color w:val="000000"/>
          <w:sz w:val="28"/>
          <w:szCs w:val="28"/>
          <w:u w:val="single"/>
        </w:rPr>
      </w:pPr>
      <w:r w:rsidRPr="006550C2">
        <w:rPr>
          <w:b/>
          <w:u w:val="single"/>
        </w:rPr>
        <w:t xml:space="preserve">ORIGINAL ARTICLE </w:t>
      </w:r>
    </w:p>
    <w:p w14:paraId="33E0A32C" w14:textId="77777777" w:rsidR="006550C2" w:rsidRDefault="006550C2">
      <w:pPr>
        <w:pBdr>
          <w:top w:val="nil"/>
          <w:left w:val="nil"/>
          <w:bottom w:val="nil"/>
          <w:right w:val="nil"/>
          <w:between w:val="nil"/>
        </w:pBdr>
        <w:jc w:val="center"/>
        <w:rPr>
          <w:rFonts w:ascii="Arial" w:eastAsia="Arial" w:hAnsi="Arial" w:cs="Arial"/>
          <w:b/>
          <w:color w:val="000000"/>
          <w:sz w:val="28"/>
          <w:szCs w:val="28"/>
        </w:rPr>
      </w:pPr>
    </w:p>
    <w:p w14:paraId="33E0A32D" w14:textId="77777777" w:rsidR="00DE33BF" w:rsidRDefault="0011572B">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8"/>
          <w:szCs w:val="28"/>
        </w:rPr>
        <w:t xml:space="preserve">TITLE MUST BE </w:t>
      </w:r>
      <w:r>
        <w:rPr>
          <w:rFonts w:ascii="Arial" w:eastAsia="Arial" w:hAnsi="Arial" w:cs="Arial"/>
          <w:b/>
          <w:sz w:val="28"/>
          <w:szCs w:val="28"/>
        </w:rPr>
        <w:t>CONCISE</w:t>
      </w:r>
      <w:r>
        <w:rPr>
          <w:rFonts w:ascii="Arial" w:eastAsia="Arial" w:hAnsi="Arial" w:cs="Arial"/>
          <w:b/>
          <w:color w:val="000000"/>
          <w:sz w:val="28"/>
          <w:szCs w:val="28"/>
        </w:rPr>
        <w:t xml:space="preserve"> AND INFORMATIVE (Arial, Size 14, Capital)</w:t>
      </w:r>
    </w:p>
    <w:p w14:paraId="33E0A32E" w14:textId="77777777" w:rsidR="00DE33BF" w:rsidRDefault="00DE33BF">
      <w:pPr>
        <w:jc w:val="center"/>
        <w:rPr>
          <w:b/>
          <w:color w:val="000000"/>
        </w:rPr>
      </w:pPr>
    </w:p>
    <w:p w14:paraId="33E0A32F" w14:textId="77777777" w:rsidR="00DE33BF" w:rsidRDefault="0011572B">
      <w:pPr>
        <w:pBdr>
          <w:top w:val="nil"/>
          <w:left w:val="nil"/>
          <w:bottom w:val="nil"/>
          <w:right w:val="nil"/>
          <w:between w:val="nil"/>
        </w:pBdr>
        <w:jc w:val="center"/>
        <w:rPr>
          <w:b/>
          <w:color w:val="000000"/>
        </w:rPr>
      </w:pPr>
      <w:r>
        <w:rPr>
          <w:b/>
          <w:color w:val="000000"/>
        </w:rPr>
        <w:t>Author</w:t>
      </w:r>
      <w:r>
        <w:rPr>
          <w:b/>
          <w:color w:val="000000"/>
          <w:vertAlign w:val="superscript"/>
        </w:rPr>
        <w:t>1*</w:t>
      </w:r>
      <w:r>
        <w:rPr>
          <w:b/>
          <w:color w:val="000000"/>
        </w:rPr>
        <w:t>, Author</w:t>
      </w:r>
      <w:r>
        <w:rPr>
          <w:b/>
          <w:color w:val="000000"/>
          <w:vertAlign w:val="superscript"/>
        </w:rPr>
        <w:t>2</w:t>
      </w:r>
    </w:p>
    <w:p w14:paraId="33E0A330" w14:textId="77777777" w:rsidR="00DE33BF" w:rsidRDefault="0011572B">
      <w:pPr>
        <w:pBdr>
          <w:top w:val="nil"/>
          <w:left w:val="nil"/>
          <w:bottom w:val="nil"/>
          <w:right w:val="nil"/>
          <w:between w:val="nil"/>
        </w:pBdr>
        <w:jc w:val="center"/>
        <w:rPr>
          <w:i/>
          <w:color w:val="000000"/>
        </w:rPr>
      </w:pPr>
      <w:r>
        <w:rPr>
          <w:i/>
          <w:color w:val="000000"/>
          <w:vertAlign w:val="superscript"/>
        </w:rPr>
        <w:t>1</w:t>
      </w:r>
      <w:r>
        <w:rPr>
          <w:i/>
          <w:color w:val="000000"/>
        </w:rPr>
        <w:t xml:space="preserve">Faculty of Medicine, </w:t>
      </w:r>
      <w:proofErr w:type="spellStart"/>
      <w:r>
        <w:rPr>
          <w:i/>
          <w:color w:val="000000"/>
        </w:rPr>
        <w:t>Universiti</w:t>
      </w:r>
      <w:proofErr w:type="spellEnd"/>
      <w:r>
        <w:rPr>
          <w:i/>
          <w:color w:val="000000"/>
        </w:rPr>
        <w:t xml:space="preserve"> </w:t>
      </w:r>
      <w:proofErr w:type="spellStart"/>
      <w:r>
        <w:rPr>
          <w:i/>
          <w:color w:val="000000"/>
        </w:rPr>
        <w:t>Teknologi</w:t>
      </w:r>
      <w:proofErr w:type="spellEnd"/>
      <w:r>
        <w:rPr>
          <w:i/>
          <w:color w:val="000000"/>
        </w:rPr>
        <w:t xml:space="preserve"> MARA, </w:t>
      </w:r>
      <w:proofErr w:type="spellStart"/>
      <w:r>
        <w:rPr>
          <w:i/>
          <w:color w:val="000000"/>
        </w:rPr>
        <w:t>Cawangan</w:t>
      </w:r>
      <w:proofErr w:type="spellEnd"/>
      <w:r>
        <w:rPr>
          <w:i/>
          <w:color w:val="000000"/>
        </w:rPr>
        <w:t xml:space="preserve"> Selangor </w:t>
      </w:r>
      <w:proofErr w:type="spellStart"/>
      <w:r>
        <w:rPr>
          <w:i/>
          <w:color w:val="000000"/>
        </w:rPr>
        <w:t>Kampus</w:t>
      </w:r>
      <w:proofErr w:type="spellEnd"/>
      <w:r>
        <w:rPr>
          <w:i/>
          <w:color w:val="000000"/>
        </w:rPr>
        <w:t xml:space="preserve"> Sungai Buloh</w:t>
      </w:r>
      <w:r w:rsidR="00533719">
        <w:rPr>
          <w:i/>
          <w:color w:val="000000"/>
        </w:rPr>
        <w:t>, 47000</w:t>
      </w:r>
      <w:r>
        <w:rPr>
          <w:i/>
          <w:color w:val="000000"/>
        </w:rPr>
        <w:t xml:space="preserve"> Sungai Buloh, Selangor, Malaysia</w:t>
      </w:r>
    </w:p>
    <w:p w14:paraId="33E0A331" w14:textId="77777777" w:rsidR="00DE33BF" w:rsidRDefault="0011572B">
      <w:pPr>
        <w:pBdr>
          <w:top w:val="nil"/>
          <w:left w:val="nil"/>
          <w:bottom w:val="nil"/>
          <w:right w:val="nil"/>
          <w:between w:val="nil"/>
        </w:pBdr>
        <w:jc w:val="center"/>
        <w:rPr>
          <w:i/>
          <w:color w:val="000000"/>
        </w:rPr>
      </w:pPr>
      <w:r>
        <w:rPr>
          <w:i/>
          <w:color w:val="000000"/>
          <w:vertAlign w:val="superscript"/>
        </w:rPr>
        <w:t>2</w:t>
      </w:r>
      <w:r w:rsidR="00533719">
        <w:rPr>
          <w:i/>
          <w:color w:val="000000"/>
        </w:rPr>
        <w:t>Pathology Department, Hospital Selayang, 68100 Batu Caves, Selangor</w:t>
      </w:r>
      <w:r>
        <w:rPr>
          <w:i/>
          <w:color w:val="000000"/>
        </w:rPr>
        <w:t>, Malaysia</w:t>
      </w:r>
    </w:p>
    <w:p w14:paraId="33E0A332" w14:textId="77777777" w:rsidR="00DE33BF" w:rsidRDefault="00DE33BF">
      <w:pPr>
        <w:jc w:val="center"/>
      </w:pPr>
    </w:p>
    <w:p w14:paraId="33E0A333" w14:textId="77777777" w:rsidR="00DE33BF" w:rsidRDefault="0011572B">
      <w:pPr>
        <w:pBdr>
          <w:top w:val="nil"/>
          <w:left w:val="nil"/>
          <w:bottom w:val="nil"/>
          <w:right w:val="nil"/>
          <w:between w:val="nil"/>
        </w:pBdr>
        <w:jc w:val="center"/>
        <w:rPr>
          <w:b/>
          <w:i/>
          <w:color w:val="000000"/>
        </w:rPr>
      </w:pPr>
      <w:r>
        <w:rPr>
          <w:i/>
          <w:color w:val="000000"/>
        </w:rPr>
        <w:t>Authors’ Email Address: *</w:t>
      </w:r>
      <w:r>
        <w:rPr>
          <w:i/>
          <w:color w:val="000000"/>
          <w:vertAlign w:val="superscript"/>
        </w:rPr>
        <w:t>1</w:t>
      </w:r>
      <w:r>
        <w:rPr>
          <w:i/>
          <w:color w:val="000000"/>
        </w:rPr>
        <w:t xml:space="preserve">email address, </w:t>
      </w:r>
      <w:r>
        <w:rPr>
          <w:i/>
          <w:color w:val="000000"/>
          <w:vertAlign w:val="superscript"/>
        </w:rPr>
        <w:t>2</w:t>
      </w:r>
      <w:r>
        <w:rPr>
          <w:i/>
          <w:color w:val="000000"/>
        </w:rPr>
        <w:t>email address,</w:t>
      </w:r>
    </w:p>
    <w:p w14:paraId="33E0A334" w14:textId="77777777" w:rsidR="00DE33BF" w:rsidRDefault="00DE33BF">
      <w:pPr>
        <w:pBdr>
          <w:top w:val="nil"/>
          <w:left w:val="nil"/>
          <w:bottom w:val="nil"/>
          <w:right w:val="nil"/>
          <w:between w:val="nil"/>
        </w:pBdr>
        <w:jc w:val="center"/>
        <w:rPr>
          <w:color w:val="000000"/>
        </w:rPr>
      </w:pPr>
    </w:p>
    <w:p w14:paraId="33E0A335" w14:textId="77777777" w:rsidR="006550C2" w:rsidRDefault="006550C2" w:rsidP="006550C2">
      <w:pPr>
        <w:pBdr>
          <w:top w:val="nil"/>
          <w:left w:val="nil"/>
          <w:bottom w:val="nil"/>
          <w:right w:val="nil"/>
          <w:between w:val="nil"/>
        </w:pBdr>
        <w:jc w:val="center"/>
        <w:rPr>
          <w:color w:val="000000"/>
        </w:rPr>
      </w:pPr>
      <w:r>
        <w:rPr>
          <w:color w:val="000000"/>
        </w:rPr>
        <w:t>Received</w:t>
      </w:r>
      <w:r w:rsidR="0011572B">
        <w:rPr>
          <w:color w:val="000000"/>
        </w:rPr>
        <w:t>: *date (Please leave blank)</w:t>
      </w:r>
      <w:r>
        <w:rPr>
          <w:color w:val="000000"/>
        </w:rPr>
        <w:t xml:space="preserve"> / Revised</w:t>
      </w:r>
      <w:r w:rsidR="0011572B">
        <w:rPr>
          <w:color w:val="000000"/>
        </w:rPr>
        <w:t>: *date (Please leave blank)</w:t>
      </w:r>
      <w:r>
        <w:rPr>
          <w:color w:val="000000"/>
        </w:rPr>
        <w:t xml:space="preserve"> / </w:t>
      </w:r>
    </w:p>
    <w:p w14:paraId="33E0A336" w14:textId="77777777" w:rsidR="00DE33BF" w:rsidRDefault="006550C2" w:rsidP="006550C2">
      <w:pPr>
        <w:pBdr>
          <w:top w:val="nil"/>
          <w:left w:val="nil"/>
          <w:bottom w:val="nil"/>
          <w:right w:val="nil"/>
          <w:between w:val="nil"/>
        </w:pBdr>
        <w:jc w:val="center"/>
        <w:rPr>
          <w:color w:val="000000"/>
        </w:rPr>
      </w:pPr>
      <w:r>
        <w:rPr>
          <w:color w:val="000000"/>
        </w:rPr>
        <w:t xml:space="preserve">Accepted: *date (Please leave blank) / </w:t>
      </w:r>
      <w:r w:rsidR="0011572B">
        <w:rPr>
          <w:color w:val="000000"/>
        </w:rPr>
        <w:t xml:space="preserve">Published </w:t>
      </w:r>
      <w:r>
        <w:rPr>
          <w:color w:val="000000"/>
        </w:rPr>
        <w:t>Online</w:t>
      </w:r>
      <w:r w:rsidR="0011572B">
        <w:rPr>
          <w:color w:val="000000"/>
        </w:rPr>
        <w:t>: *date (Please leave blank)</w:t>
      </w:r>
    </w:p>
    <w:p w14:paraId="33E0A337" w14:textId="77777777" w:rsidR="00DE33BF" w:rsidRDefault="00DE33BF">
      <w:pPr>
        <w:pBdr>
          <w:top w:val="nil"/>
          <w:left w:val="nil"/>
          <w:bottom w:val="nil"/>
          <w:right w:val="nil"/>
          <w:between w:val="nil"/>
        </w:pBdr>
        <w:jc w:val="center"/>
        <w:rPr>
          <w:color w:val="000000"/>
        </w:rPr>
      </w:pPr>
    </w:p>
    <w:p w14:paraId="33E0A338" w14:textId="77777777" w:rsidR="00DE33BF" w:rsidRDefault="0011572B">
      <w:pPr>
        <w:pBdr>
          <w:top w:val="nil"/>
          <w:left w:val="nil"/>
          <w:bottom w:val="nil"/>
          <w:right w:val="nil"/>
          <w:between w:val="nil"/>
        </w:pBdr>
        <w:jc w:val="center"/>
        <w:rPr>
          <w:color w:val="000000"/>
        </w:rPr>
      </w:pPr>
      <w:r>
        <w:rPr>
          <w:color w:val="000000"/>
        </w:rPr>
        <w:t>*Corresponding Author</w:t>
      </w:r>
    </w:p>
    <w:p w14:paraId="33E0A339" w14:textId="77777777" w:rsidR="00DE33BF" w:rsidRDefault="00DE33BF"/>
    <w:p w14:paraId="33E0A33A" w14:textId="77777777" w:rsidR="00DE33BF" w:rsidRDefault="0011572B" w:rsidP="00C531B5">
      <w:pPr>
        <w:keepNext/>
        <w:pBdr>
          <w:top w:val="nil"/>
          <w:left w:val="nil"/>
          <w:bottom w:val="nil"/>
          <w:right w:val="nil"/>
          <w:between w:val="nil"/>
        </w:pBdr>
        <w:spacing w:before="120" w:after="120"/>
        <w:rPr>
          <w:b/>
          <w:color w:val="000000"/>
        </w:rPr>
      </w:pPr>
      <w:r w:rsidRPr="00C531B5">
        <w:rPr>
          <w:rFonts w:ascii="Arial" w:hAnsi="Arial" w:cs="Arial"/>
          <w:b/>
          <w:color w:val="000000"/>
          <w:sz w:val="24"/>
          <w:szCs w:val="24"/>
        </w:rPr>
        <w:t>ABSTRACT</w:t>
      </w:r>
      <w:r w:rsidR="00C531B5">
        <w:rPr>
          <w:b/>
          <w:color w:val="000000"/>
        </w:rPr>
        <w:t xml:space="preserve"> </w:t>
      </w:r>
      <w:r w:rsidR="00C531B5" w:rsidRPr="00C531B5">
        <w:rPr>
          <w:rFonts w:ascii="Arial" w:hAnsi="Arial" w:cs="Arial"/>
          <w:b/>
          <w:sz w:val="24"/>
          <w:szCs w:val="24"/>
        </w:rPr>
        <w:t>(Arial, Size 12, Capital)</w:t>
      </w:r>
    </w:p>
    <w:p w14:paraId="33E0A33B" w14:textId="77777777" w:rsidR="00DE33BF" w:rsidRPr="00CD1D2F" w:rsidRDefault="0011572B">
      <w:pPr>
        <w:pBdr>
          <w:top w:val="nil"/>
          <w:left w:val="nil"/>
          <w:bottom w:val="nil"/>
          <w:right w:val="nil"/>
          <w:between w:val="nil"/>
        </w:pBdr>
        <w:jc w:val="both"/>
        <w:rPr>
          <w:i/>
          <w:color w:val="000000"/>
        </w:rPr>
      </w:pPr>
      <w:r>
        <w:rPr>
          <w:i/>
          <w:color w:val="000000"/>
        </w:rPr>
        <w:t xml:space="preserve">A concise and factual abstract is required. The abstract should state briefly the purpose of the research, the principal results and major conclusions. An abstract is presented separately from the article, so it must be able to stand alone. For this reason, references must be avoided. Also, non-standard or uncommon abbreviations should be avoided, but if essential they must be defined at their first mention in the abstract itself. Abstracts </w:t>
      </w:r>
      <w:r>
        <w:rPr>
          <w:i/>
        </w:rPr>
        <w:t>should</w:t>
      </w:r>
      <w:r>
        <w:rPr>
          <w:i/>
          <w:color w:val="000000"/>
        </w:rPr>
        <w:t xml:space="preserve"> outline the aim of the study, methods, results, discussions and conclusions of the work. It should contain no more than 300 words.</w:t>
      </w:r>
      <w:r w:rsidR="00C531B5" w:rsidRPr="00C531B5">
        <w:t xml:space="preserve"> </w:t>
      </w:r>
      <w:r w:rsidR="00C531B5" w:rsidRPr="00CD1D2F">
        <w:rPr>
          <w:i/>
        </w:rPr>
        <w:t>Pleas</w:t>
      </w:r>
      <w:r w:rsidR="00CD1D2F">
        <w:rPr>
          <w:i/>
        </w:rPr>
        <w:t>e use font Times New Roman in</w:t>
      </w:r>
      <w:r w:rsidR="00C531B5" w:rsidRPr="00CD1D2F">
        <w:rPr>
          <w:i/>
        </w:rPr>
        <w:t xml:space="preserve"> italic</w:t>
      </w:r>
      <w:r w:rsidR="00CD1D2F">
        <w:rPr>
          <w:i/>
        </w:rPr>
        <w:t xml:space="preserve"> with the font</w:t>
      </w:r>
      <w:r w:rsidR="00C531B5" w:rsidRPr="00CD1D2F">
        <w:rPr>
          <w:i/>
        </w:rPr>
        <w:t xml:space="preserve"> size 11pt</w:t>
      </w:r>
      <w:r w:rsidR="00CD1D2F">
        <w:rPr>
          <w:i/>
        </w:rPr>
        <w:t xml:space="preserve"> and</w:t>
      </w:r>
      <w:r w:rsidR="00C531B5" w:rsidRPr="00CD1D2F">
        <w:rPr>
          <w:i/>
        </w:rPr>
        <w:t xml:space="preserve"> single spacing.</w:t>
      </w:r>
    </w:p>
    <w:p w14:paraId="33E0A33C" w14:textId="77777777" w:rsidR="00DE33BF" w:rsidRDefault="00DE33BF">
      <w:pPr>
        <w:jc w:val="both"/>
        <w:rPr>
          <w:b/>
          <w:sz w:val="24"/>
          <w:szCs w:val="24"/>
        </w:rPr>
      </w:pPr>
    </w:p>
    <w:p w14:paraId="33E0A33D" w14:textId="77777777" w:rsidR="00DE33BF" w:rsidRDefault="0011572B">
      <w:pPr>
        <w:ind w:left="1134" w:hanging="1134"/>
        <w:jc w:val="both"/>
        <w:rPr>
          <w:i/>
        </w:rPr>
      </w:pPr>
      <w:r>
        <w:rPr>
          <w:b/>
          <w:i/>
        </w:rPr>
        <w:t>Keywords</w:t>
      </w:r>
      <w:r>
        <w:t xml:space="preserve">: </w:t>
      </w:r>
      <w:r>
        <w:rPr>
          <w:i/>
        </w:rPr>
        <w:t xml:space="preserve">provide a maximum of 5 keywords, arranged alphabetically, </w:t>
      </w:r>
      <w:r w:rsidR="005D2BA9">
        <w:rPr>
          <w:i/>
        </w:rPr>
        <w:t>and separated</w:t>
      </w:r>
      <w:r>
        <w:rPr>
          <w:i/>
        </w:rPr>
        <w:t xml:space="preserve"> by (,)</w:t>
      </w:r>
    </w:p>
    <w:p w14:paraId="33E0A33E" w14:textId="77777777" w:rsidR="00DE33BF" w:rsidRDefault="00DE33BF">
      <w:pPr>
        <w:pBdr>
          <w:top w:val="nil"/>
          <w:left w:val="nil"/>
          <w:bottom w:val="nil"/>
          <w:right w:val="nil"/>
          <w:between w:val="nil"/>
        </w:pBdr>
        <w:tabs>
          <w:tab w:val="left" w:pos="270"/>
        </w:tabs>
        <w:jc w:val="both"/>
        <w:rPr>
          <w:b/>
          <w:color w:val="000000"/>
        </w:rPr>
      </w:pPr>
    </w:p>
    <w:p w14:paraId="33E0A33F" w14:textId="77777777" w:rsidR="00DE33BF" w:rsidRDefault="0011572B">
      <w:pPr>
        <w:pStyle w:val="Heading1"/>
      </w:pPr>
      <w:r>
        <w:t>INTRODUCTION</w:t>
      </w:r>
      <w:r w:rsidR="006550C2">
        <w:t xml:space="preserve"> </w:t>
      </w:r>
      <w:r>
        <w:t>(Arial, Size 12, Capital)</w:t>
      </w:r>
    </w:p>
    <w:p w14:paraId="33E0A340" w14:textId="77777777" w:rsidR="00DE33BF" w:rsidRDefault="0011572B">
      <w:pPr>
        <w:tabs>
          <w:tab w:val="left" w:pos="0"/>
        </w:tabs>
        <w:jc w:val="both"/>
      </w:pPr>
      <w:bookmarkStart w:id="0" w:name="_heading=h.gjdgxs" w:colFirst="0" w:colLast="0"/>
      <w:bookmarkEnd w:id="0"/>
      <w:r>
        <w:t xml:space="preserve">Start your introduction here. Provide background information, state the research question, and outline the structure of the </w:t>
      </w:r>
      <w:r w:rsidR="005D2BA9">
        <w:t>paper. Paper</w:t>
      </w:r>
      <w:r>
        <w:t xml:space="preserve"> must strictly follow Malaysian Journal of Clinical Biochemistry</w:t>
      </w:r>
      <w:r w:rsidR="00CD1D2F">
        <w:t xml:space="preserve"> (MJCB)</w:t>
      </w:r>
      <w:r>
        <w:t xml:space="preserve"> format as provided. Please use font Times New Roman, size 11pt for all paragraphs, with single spacing. The minimum number of pages for the manuscript is 5 pages.</w:t>
      </w:r>
    </w:p>
    <w:p w14:paraId="33E0A341" w14:textId="77777777" w:rsidR="00DE33BF" w:rsidRDefault="00DE33BF">
      <w:pPr>
        <w:tabs>
          <w:tab w:val="left" w:pos="0"/>
        </w:tabs>
        <w:jc w:val="both"/>
      </w:pPr>
    </w:p>
    <w:p w14:paraId="33E0A342" w14:textId="77777777" w:rsidR="00DE33BF" w:rsidRDefault="0011572B">
      <w:pPr>
        <w:tabs>
          <w:tab w:val="left" w:pos="0"/>
        </w:tabs>
        <w:jc w:val="both"/>
      </w:pPr>
      <w:r>
        <w:t xml:space="preserve">If you have more than one paragraph, please insert </w:t>
      </w:r>
      <w:r w:rsidR="005D2BA9">
        <w:t>line</w:t>
      </w:r>
      <w:r>
        <w:t xml:space="preserve"> spacing between the paragraphs. Do not insert any space before and after the paragraph. Please insert </w:t>
      </w:r>
      <w:r w:rsidR="005D2BA9">
        <w:t>line</w:t>
      </w:r>
      <w:r>
        <w:t xml:space="preserve"> spacing after each paragraph, before the next section.</w:t>
      </w:r>
    </w:p>
    <w:p w14:paraId="33E0A343" w14:textId="77777777" w:rsidR="00DE33BF" w:rsidRDefault="00DE33BF">
      <w:pPr>
        <w:tabs>
          <w:tab w:val="left" w:pos="0"/>
          <w:tab w:val="left" w:pos="270"/>
        </w:tabs>
        <w:jc w:val="both"/>
      </w:pPr>
    </w:p>
    <w:p w14:paraId="33E0A344" w14:textId="77777777" w:rsidR="00DE33BF" w:rsidRDefault="0011572B">
      <w:pPr>
        <w:pStyle w:val="Heading1"/>
      </w:pPr>
      <w:r>
        <w:t>METHODS/RESULTS/DISCUSSION (Heading 1</w:t>
      </w:r>
      <w:r w:rsidR="00C531B5">
        <w:t>) (</w:t>
      </w:r>
      <w:r>
        <w:t>Arial, Size 12, Capital)</w:t>
      </w:r>
    </w:p>
    <w:p w14:paraId="33E0A345" w14:textId="77777777" w:rsidR="00DE33BF" w:rsidRDefault="0011572B">
      <w:pPr>
        <w:jc w:val="both"/>
      </w:pPr>
      <w:r>
        <w:t>Write the methods/results/</w:t>
      </w:r>
      <w:r w:rsidR="005D2BA9">
        <w:t>discussion (</w:t>
      </w:r>
      <w:r>
        <w:t xml:space="preserve">related work) </w:t>
      </w:r>
      <w:r w:rsidR="005D2BA9">
        <w:t>here. Describe</w:t>
      </w:r>
      <w:r>
        <w:t xml:space="preserve"> the methods used in your study. Include details about data collection, experimental design, and statistical </w:t>
      </w:r>
      <w:r w:rsidR="005D2BA9">
        <w:t>analysis. Present</w:t>
      </w:r>
      <w:r>
        <w:t xml:space="preserve"> the results of your study. Use tables, figures, and graphs to illustrate key </w:t>
      </w:r>
      <w:r w:rsidR="005D2BA9">
        <w:t>findings. Discuss</w:t>
      </w:r>
      <w:r>
        <w:t xml:space="preserve"> the implications of your results and compare them with previous studies. Explore limitations and suggest avenues for future research.</w:t>
      </w:r>
      <w:r w:rsidR="006550C2">
        <w:t xml:space="preserve"> </w:t>
      </w:r>
    </w:p>
    <w:p w14:paraId="33E0A346" w14:textId="77777777" w:rsidR="00DE33BF" w:rsidRDefault="00DE33BF">
      <w:pPr>
        <w:jc w:val="both"/>
      </w:pPr>
    </w:p>
    <w:p w14:paraId="33E0A347" w14:textId="77777777" w:rsidR="00DE33BF" w:rsidRDefault="0011572B">
      <w:pPr>
        <w:tabs>
          <w:tab w:val="left" w:pos="0"/>
        </w:tabs>
        <w:jc w:val="both"/>
      </w:pPr>
      <w:r>
        <w:t xml:space="preserve">If you have more than one paragraph, please insert </w:t>
      </w:r>
      <w:r w:rsidR="005D2BA9">
        <w:t>line</w:t>
      </w:r>
      <w:r>
        <w:t xml:space="preserve"> spacing between the paragraphs. Do not insert any space before and after the paragraph. Please insert </w:t>
      </w:r>
      <w:r w:rsidR="005D2BA9">
        <w:t>line</w:t>
      </w:r>
      <w:r>
        <w:t xml:space="preserve"> spacing after each paragraph, before the next section.</w:t>
      </w:r>
    </w:p>
    <w:p w14:paraId="33E0A348" w14:textId="77777777" w:rsidR="00DE33BF" w:rsidRDefault="00DE33BF">
      <w:pPr>
        <w:pBdr>
          <w:top w:val="nil"/>
          <w:left w:val="nil"/>
          <w:bottom w:val="nil"/>
          <w:right w:val="nil"/>
          <w:between w:val="nil"/>
        </w:pBdr>
        <w:tabs>
          <w:tab w:val="left" w:pos="270"/>
        </w:tabs>
        <w:jc w:val="both"/>
        <w:rPr>
          <w:color w:val="000000"/>
        </w:rPr>
      </w:pPr>
    </w:p>
    <w:p w14:paraId="33E0A349" w14:textId="77777777" w:rsidR="00DE33BF" w:rsidRDefault="0011572B">
      <w:pPr>
        <w:pStyle w:val="Heading2"/>
      </w:pPr>
      <w:r>
        <w:t>Methods/Results/Discussion 1(Heading 2</w:t>
      </w:r>
      <w:r w:rsidR="00C531B5">
        <w:t>) (</w:t>
      </w:r>
      <w:r>
        <w:t>Arial, size 11, capitalized each word)</w:t>
      </w:r>
    </w:p>
    <w:p w14:paraId="33E0A34A" w14:textId="77777777" w:rsidR="00DE33BF" w:rsidRDefault="0011572B">
      <w:pPr>
        <w:jc w:val="both"/>
      </w:pPr>
      <w:r>
        <w:tab/>
        <w:t>Write the related work here. Please indent the first line of the paragraph by 0.5”. Continue the paragraph as usual when writing the subtopics.</w:t>
      </w:r>
    </w:p>
    <w:p w14:paraId="33E0A34B" w14:textId="77777777" w:rsidR="00DE33BF" w:rsidRDefault="00DE33BF">
      <w:pPr>
        <w:jc w:val="both"/>
      </w:pPr>
    </w:p>
    <w:p w14:paraId="33E0A34C" w14:textId="77777777" w:rsidR="00DE33BF" w:rsidRDefault="0011572B">
      <w:pPr>
        <w:tabs>
          <w:tab w:val="left" w:pos="0"/>
        </w:tabs>
        <w:jc w:val="both"/>
      </w:pPr>
      <w:r>
        <w:tab/>
        <w:t xml:space="preserve">If you have more than one paragraph, please insert </w:t>
      </w:r>
      <w:r w:rsidR="00C531B5">
        <w:t>line</w:t>
      </w:r>
      <w:r>
        <w:t xml:space="preserve"> spacing between the paragraphs. Do not insert any space before and after the paragraph. Please insert </w:t>
      </w:r>
      <w:r w:rsidR="00C531B5">
        <w:t>line</w:t>
      </w:r>
      <w:r>
        <w:t xml:space="preserve"> spacing after each paragraph, before the next section.</w:t>
      </w:r>
    </w:p>
    <w:p w14:paraId="33E0A34D" w14:textId="77777777" w:rsidR="00DE33BF" w:rsidRDefault="00DE33BF">
      <w:pPr>
        <w:pBdr>
          <w:top w:val="nil"/>
          <w:left w:val="nil"/>
          <w:bottom w:val="nil"/>
          <w:right w:val="nil"/>
          <w:between w:val="nil"/>
        </w:pBdr>
        <w:tabs>
          <w:tab w:val="left" w:pos="270"/>
        </w:tabs>
        <w:jc w:val="both"/>
        <w:rPr>
          <w:color w:val="000000"/>
        </w:rPr>
      </w:pPr>
    </w:p>
    <w:p w14:paraId="33E0A34E" w14:textId="77777777" w:rsidR="00DE33BF" w:rsidRDefault="0011572B">
      <w:pPr>
        <w:pStyle w:val="Heading2"/>
      </w:pPr>
      <w:r>
        <w:t>Methods/Results/Discussion 2 (Heading 2) (Arial, size 11, capitalized each word)</w:t>
      </w:r>
    </w:p>
    <w:p w14:paraId="33E0A34F" w14:textId="77777777" w:rsidR="00DE33BF" w:rsidRDefault="0011572B">
      <w:pPr>
        <w:jc w:val="both"/>
      </w:pPr>
      <w:r>
        <w:tab/>
        <w:t>Write the related work here. Please indent the first line of the paragraph by 0.5”. Continue the paragraph as usual when writing the subtopics.</w:t>
      </w:r>
    </w:p>
    <w:p w14:paraId="33E0A350" w14:textId="77777777" w:rsidR="00DE33BF" w:rsidRDefault="00DE33BF">
      <w:pPr>
        <w:jc w:val="both"/>
      </w:pPr>
    </w:p>
    <w:p w14:paraId="33E0A351" w14:textId="77777777" w:rsidR="00DE33BF" w:rsidRDefault="0011572B">
      <w:pPr>
        <w:tabs>
          <w:tab w:val="left" w:pos="0"/>
        </w:tabs>
        <w:jc w:val="both"/>
      </w:pPr>
      <w:r>
        <w:tab/>
        <w:t xml:space="preserve">If you have more than one paragraph, please insert </w:t>
      </w:r>
      <w:r w:rsidR="00C531B5">
        <w:t>line</w:t>
      </w:r>
      <w:r>
        <w:t xml:space="preserve"> spacing between the paragraphs. Do not insert any space before and after the paragraph. Please insert </w:t>
      </w:r>
      <w:r w:rsidR="00C531B5">
        <w:t>line</w:t>
      </w:r>
      <w:r>
        <w:t xml:space="preserve"> spacing after each paragraph, before the next section.</w:t>
      </w:r>
    </w:p>
    <w:p w14:paraId="33E0A352" w14:textId="77777777" w:rsidR="00DE33BF" w:rsidRDefault="00DE33BF">
      <w:pPr>
        <w:tabs>
          <w:tab w:val="left" w:pos="0"/>
        </w:tabs>
        <w:jc w:val="both"/>
      </w:pPr>
    </w:p>
    <w:p w14:paraId="33E0A353" w14:textId="77777777" w:rsidR="00DE33BF" w:rsidRDefault="0011572B">
      <w:pPr>
        <w:pStyle w:val="Heading2"/>
      </w:pPr>
      <w:r>
        <w:t>Figures and Tables</w:t>
      </w:r>
    </w:p>
    <w:p w14:paraId="33E0A354" w14:textId="77777777" w:rsidR="00DE33BF" w:rsidRDefault="0011572B">
      <w:r>
        <w:tab/>
        <w:t xml:space="preserve">Below are the examples to insert Figure 1 and Table 1 in the manuscript. Please make sure your figure has a border around it. </w:t>
      </w:r>
    </w:p>
    <w:p w14:paraId="33E0A355" w14:textId="77777777" w:rsidR="00DE33BF" w:rsidRDefault="00DE33BF">
      <w:pPr>
        <w:pBdr>
          <w:top w:val="nil"/>
          <w:left w:val="nil"/>
          <w:bottom w:val="nil"/>
          <w:right w:val="nil"/>
          <w:between w:val="nil"/>
        </w:pBdr>
        <w:tabs>
          <w:tab w:val="left" w:pos="270"/>
        </w:tabs>
        <w:jc w:val="both"/>
        <w:rPr>
          <w:color w:val="000000"/>
        </w:rPr>
      </w:pPr>
    </w:p>
    <w:p w14:paraId="33E0A356" w14:textId="77777777" w:rsidR="00DE33BF" w:rsidRDefault="0011572B">
      <w:pPr>
        <w:pBdr>
          <w:top w:val="nil"/>
          <w:left w:val="nil"/>
          <w:bottom w:val="nil"/>
          <w:right w:val="nil"/>
          <w:between w:val="nil"/>
        </w:pBdr>
        <w:tabs>
          <w:tab w:val="left" w:pos="270"/>
        </w:tabs>
        <w:jc w:val="both"/>
        <w:rPr>
          <w:color w:val="000000"/>
        </w:rPr>
      </w:pPr>
      <w:r>
        <w:rPr>
          <w:noProof/>
        </w:rPr>
        <w:drawing>
          <wp:anchor distT="0" distB="0" distL="114300" distR="114300" simplePos="0" relativeHeight="251658240" behindDoc="0" locked="0" layoutInCell="1" allowOverlap="1" wp14:anchorId="33E0A3B2" wp14:editId="33E0A3B3">
            <wp:simplePos x="0" y="0"/>
            <wp:positionH relativeFrom="column">
              <wp:posOffset>2034705</wp:posOffset>
            </wp:positionH>
            <wp:positionV relativeFrom="paragraph">
              <wp:posOffset>152561</wp:posOffset>
            </wp:positionV>
            <wp:extent cx="1857375" cy="1857375"/>
            <wp:effectExtent l="0" t="0" r="0" b="0"/>
            <wp:wrapNone/>
            <wp:docPr id="943240159" name="image1.jpg" descr="C:\Users\User\AppData\Local\Microsoft\Windows\Temporary Internet Files\Content.IE5\PGM01E11\question_1[1].jpg"/>
            <wp:cNvGraphicFramePr/>
            <a:graphic xmlns:a="http://schemas.openxmlformats.org/drawingml/2006/main">
              <a:graphicData uri="http://schemas.openxmlformats.org/drawingml/2006/picture">
                <pic:pic xmlns:pic="http://schemas.openxmlformats.org/drawingml/2006/picture">
                  <pic:nvPicPr>
                    <pic:cNvPr id="0" name="image1.jpg" descr="C:\Users\User\AppData\Local\Microsoft\Windows\Temporary Internet Files\Content.IE5\PGM01E11\question_1[1].jpg"/>
                    <pic:cNvPicPr preferRelativeResize="0"/>
                  </pic:nvPicPr>
                  <pic:blipFill>
                    <a:blip r:embed="rId7"/>
                    <a:srcRect/>
                    <a:stretch>
                      <a:fillRect/>
                    </a:stretch>
                  </pic:blipFill>
                  <pic:spPr>
                    <a:xfrm>
                      <a:off x="0" y="0"/>
                      <a:ext cx="1857375" cy="1857375"/>
                    </a:xfrm>
                    <a:prstGeom prst="rect">
                      <a:avLst/>
                    </a:prstGeom>
                    <a:ln/>
                  </pic:spPr>
                </pic:pic>
              </a:graphicData>
            </a:graphic>
          </wp:anchor>
        </w:drawing>
      </w:r>
    </w:p>
    <w:p w14:paraId="33E0A357" w14:textId="77777777" w:rsidR="00DE33BF" w:rsidRDefault="00DE33BF">
      <w:pPr>
        <w:pBdr>
          <w:top w:val="nil"/>
          <w:left w:val="nil"/>
          <w:bottom w:val="nil"/>
          <w:right w:val="nil"/>
          <w:between w:val="nil"/>
        </w:pBdr>
        <w:tabs>
          <w:tab w:val="left" w:pos="270"/>
        </w:tabs>
        <w:jc w:val="both"/>
        <w:rPr>
          <w:color w:val="000000"/>
        </w:rPr>
      </w:pPr>
    </w:p>
    <w:p w14:paraId="33E0A358" w14:textId="77777777" w:rsidR="00DE33BF" w:rsidRDefault="00DE33BF">
      <w:pPr>
        <w:jc w:val="center"/>
      </w:pPr>
    </w:p>
    <w:p w14:paraId="33E0A359" w14:textId="77777777" w:rsidR="00DE33BF" w:rsidRDefault="00DE33BF">
      <w:pPr>
        <w:jc w:val="center"/>
        <w:rPr>
          <w:rFonts w:ascii="Arial" w:eastAsia="Arial" w:hAnsi="Arial" w:cs="Arial"/>
          <w:b/>
        </w:rPr>
      </w:pPr>
    </w:p>
    <w:p w14:paraId="33E0A35A"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5B"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5C"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5D"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5E"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5F"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60" w14:textId="77777777" w:rsidR="00DE33BF" w:rsidRDefault="00DE33BF">
      <w:pPr>
        <w:pBdr>
          <w:top w:val="nil"/>
          <w:left w:val="nil"/>
          <w:bottom w:val="nil"/>
          <w:right w:val="nil"/>
          <w:between w:val="nil"/>
        </w:pBdr>
        <w:spacing w:after="120"/>
        <w:jc w:val="center"/>
        <w:rPr>
          <w:rFonts w:ascii="Arial" w:eastAsia="Arial" w:hAnsi="Arial" w:cs="Arial"/>
          <w:b/>
          <w:color w:val="000000"/>
          <w:sz w:val="18"/>
          <w:szCs w:val="18"/>
        </w:rPr>
      </w:pPr>
    </w:p>
    <w:p w14:paraId="33E0A361" w14:textId="77777777" w:rsidR="00DE33BF" w:rsidRDefault="0011572B">
      <w:pPr>
        <w:pBdr>
          <w:top w:val="nil"/>
          <w:left w:val="nil"/>
          <w:bottom w:val="nil"/>
          <w:right w:val="nil"/>
          <w:between w:val="nil"/>
        </w:pBdr>
        <w:spacing w:after="120"/>
        <w:jc w:val="center"/>
        <w:rPr>
          <w:rFonts w:ascii="Arial" w:eastAsia="Arial" w:hAnsi="Arial" w:cs="Arial"/>
          <w:b/>
          <w:color w:val="000000"/>
          <w:sz w:val="18"/>
          <w:szCs w:val="18"/>
        </w:rPr>
      </w:pPr>
      <w:r>
        <w:rPr>
          <w:rFonts w:ascii="Arial" w:eastAsia="Arial" w:hAnsi="Arial" w:cs="Arial"/>
          <w:b/>
          <w:color w:val="000000"/>
          <w:sz w:val="18"/>
          <w:szCs w:val="18"/>
        </w:rPr>
        <w:t xml:space="preserve">Figure 1: Questions &amp; Answers (Arial, size 9, </w:t>
      </w:r>
      <w:r>
        <w:rPr>
          <w:rFonts w:ascii="Arial" w:eastAsia="Arial" w:hAnsi="Arial" w:cs="Arial"/>
          <w:b/>
          <w:sz w:val="18"/>
          <w:szCs w:val="18"/>
        </w:rPr>
        <w:t>centered</w:t>
      </w:r>
      <w:r>
        <w:rPr>
          <w:rFonts w:ascii="Arial" w:eastAsia="Arial" w:hAnsi="Arial" w:cs="Arial"/>
          <w:b/>
          <w:color w:val="000000"/>
          <w:sz w:val="18"/>
          <w:szCs w:val="18"/>
        </w:rPr>
        <w:t>, placed below the figure)</w:t>
      </w:r>
    </w:p>
    <w:p w14:paraId="33E0A362" w14:textId="77777777" w:rsidR="00DE33BF" w:rsidRDefault="00DE33BF">
      <w:pPr>
        <w:jc w:val="center"/>
      </w:pPr>
    </w:p>
    <w:p w14:paraId="33E0A363" w14:textId="77777777" w:rsidR="00DE33BF" w:rsidRDefault="00DE33BF">
      <w:pPr>
        <w:jc w:val="center"/>
      </w:pPr>
    </w:p>
    <w:p w14:paraId="33E0A364" w14:textId="77777777" w:rsidR="00DE33BF" w:rsidRDefault="00DE33BF">
      <w:pPr>
        <w:jc w:val="center"/>
      </w:pPr>
    </w:p>
    <w:p w14:paraId="33E0A365" w14:textId="77777777" w:rsidR="00DE33BF" w:rsidRDefault="00DE33BF">
      <w:pPr>
        <w:jc w:val="center"/>
      </w:pPr>
    </w:p>
    <w:p w14:paraId="33E0A366" w14:textId="77777777" w:rsidR="00C531B5" w:rsidRDefault="00C531B5">
      <w:pPr>
        <w:jc w:val="center"/>
      </w:pPr>
    </w:p>
    <w:p w14:paraId="33E0A367" w14:textId="77777777" w:rsidR="00C531B5" w:rsidRDefault="00C531B5">
      <w:pPr>
        <w:jc w:val="center"/>
      </w:pPr>
    </w:p>
    <w:p w14:paraId="33E0A368" w14:textId="77777777" w:rsidR="00C531B5" w:rsidRDefault="00C531B5">
      <w:pPr>
        <w:jc w:val="center"/>
      </w:pPr>
    </w:p>
    <w:p w14:paraId="33E0A369" w14:textId="77777777" w:rsidR="00C531B5" w:rsidRDefault="00C531B5">
      <w:pPr>
        <w:jc w:val="center"/>
      </w:pPr>
    </w:p>
    <w:p w14:paraId="33E0A36A" w14:textId="77777777" w:rsidR="00DE33BF" w:rsidRDefault="00DE33BF">
      <w:pPr>
        <w:jc w:val="center"/>
      </w:pPr>
    </w:p>
    <w:p w14:paraId="33E0A36B" w14:textId="77777777" w:rsidR="00C531B5" w:rsidRDefault="00C531B5">
      <w:pPr>
        <w:jc w:val="center"/>
      </w:pPr>
    </w:p>
    <w:p w14:paraId="33E0A36C" w14:textId="77777777" w:rsidR="00DE33BF" w:rsidRDefault="0011572B">
      <w:pPr>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 xml:space="preserve">Table 1: Measurement Criteria (Arial, size 9, </w:t>
      </w:r>
      <w:r>
        <w:rPr>
          <w:rFonts w:ascii="Arial" w:eastAsia="Arial" w:hAnsi="Arial" w:cs="Arial"/>
          <w:b/>
          <w:sz w:val="18"/>
          <w:szCs w:val="18"/>
        </w:rPr>
        <w:t>centered</w:t>
      </w:r>
      <w:r>
        <w:rPr>
          <w:rFonts w:ascii="Arial" w:eastAsia="Arial" w:hAnsi="Arial" w:cs="Arial"/>
          <w:b/>
          <w:color w:val="000000"/>
          <w:sz w:val="18"/>
          <w:szCs w:val="18"/>
        </w:rPr>
        <w:t>, placed above the table)</w:t>
      </w:r>
      <w:r>
        <w:rPr>
          <w:rFonts w:ascii="Arial" w:eastAsia="Arial" w:hAnsi="Arial" w:cs="Arial"/>
          <w:b/>
          <w:color w:val="000000"/>
          <w:sz w:val="18"/>
          <w:szCs w:val="18"/>
        </w:rPr>
        <w:br/>
      </w:r>
    </w:p>
    <w:tbl>
      <w:tblPr>
        <w:tblStyle w:val="a"/>
        <w:tblW w:w="5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4"/>
        <w:gridCol w:w="3191"/>
      </w:tblGrid>
      <w:tr w:rsidR="00DE33BF" w14:paraId="33E0A36F" w14:textId="77777777">
        <w:trPr>
          <w:cantSplit/>
          <w:tblHeader/>
          <w:jc w:val="center"/>
        </w:trPr>
        <w:tc>
          <w:tcPr>
            <w:tcW w:w="2634" w:type="dxa"/>
          </w:tcPr>
          <w:p w14:paraId="33E0A36D" w14:textId="77777777" w:rsidR="00DE33BF" w:rsidRDefault="0011572B">
            <w:pPr>
              <w:jc w:val="center"/>
              <w:rPr>
                <w:rFonts w:ascii="Arial" w:eastAsia="Arial" w:hAnsi="Arial" w:cs="Arial"/>
                <w:b/>
                <w:sz w:val="18"/>
                <w:szCs w:val="18"/>
              </w:rPr>
            </w:pPr>
            <w:r>
              <w:rPr>
                <w:rFonts w:ascii="Arial" w:eastAsia="Arial" w:hAnsi="Arial" w:cs="Arial"/>
                <w:b/>
                <w:sz w:val="18"/>
                <w:szCs w:val="18"/>
              </w:rPr>
              <w:t>Rank</w:t>
            </w:r>
          </w:p>
        </w:tc>
        <w:tc>
          <w:tcPr>
            <w:tcW w:w="3192" w:type="dxa"/>
          </w:tcPr>
          <w:p w14:paraId="33E0A36E" w14:textId="77777777" w:rsidR="00DE33BF" w:rsidRDefault="0011572B">
            <w:pPr>
              <w:jc w:val="center"/>
              <w:rPr>
                <w:rFonts w:ascii="Arial" w:eastAsia="Arial" w:hAnsi="Arial" w:cs="Arial"/>
                <w:b/>
                <w:sz w:val="18"/>
                <w:szCs w:val="18"/>
              </w:rPr>
            </w:pPr>
            <w:r>
              <w:rPr>
                <w:rFonts w:ascii="Arial" w:eastAsia="Arial" w:hAnsi="Arial" w:cs="Arial"/>
                <w:b/>
                <w:sz w:val="18"/>
                <w:szCs w:val="18"/>
              </w:rPr>
              <w:t>Value</w:t>
            </w:r>
          </w:p>
        </w:tc>
      </w:tr>
      <w:tr w:rsidR="00DE33BF" w14:paraId="33E0A372" w14:textId="77777777">
        <w:trPr>
          <w:cantSplit/>
          <w:tblHeader/>
          <w:jc w:val="center"/>
        </w:trPr>
        <w:tc>
          <w:tcPr>
            <w:tcW w:w="2634" w:type="dxa"/>
          </w:tcPr>
          <w:p w14:paraId="33E0A370" w14:textId="77777777" w:rsidR="00DE33BF" w:rsidRDefault="0011572B">
            <w:pPr>
              <w:jc w:val="center"/>
              <w:rPr>
                <w:rFonts w:ascii="Arial" w:eastAsia="Arial" w:hAnsi="Arial" w:cs="Arial"/>
                <w:sz w:val="18"/>
                <w:szCs w:val="18"/>
              </w:rPr>
            </w:pPr>
            <w:r>
              <w:rPr>
                <w:rFonts w:ascii="Arial" w:eastAsia="Arial" w:hAnsi="Arial" w:cs="Arial"/>
                <w:sz w:val="18"/>
                <w:szCs w:val="18"/>
              </w:rPr>
              <w:t>Strongly Agree</w:t>
            </w:r>
          </w:p>
        </w:tc>
        <w:tc>
          <w:tcPr>
            <w:tcW w:w="3192" w:type="dxa"/>
          </w:tcPr>
          <w:p w14:paraId="33E0A371" w14:textId="77777777" w:rsidR="00DE33BF" w:rsidRDefault="0011572B">
            <w:pPr>
              <w:jc w:val="center"/>
              <w:rPr>
                <w:rFonts w:ascii="Arial" w:eastAsia="Arial" w:hAnsi="Arial" w:cs="Arial"/>
                <w:sz w:val="18"/>
                <w:szCs w:val="18"/>
              </w:rPr>
            </w:pPr>
            <w:r>
              <w:rPr>
                <w:rFonts w:ascii="Arial" w:eastAsia="Arial" w:hAnsi="Arial" w:cs="Arial"/>
                <w:sz w:val="18"/>
                <w:szCs w:val="18"/>
              </w:rPr>
              <w:t>5</w:t>
            </w:r>
          </w:p>
        </w:tc>
      </w:tr>
      <w:tr w:rsidR="00DE33BF" w14:paraId="33E0A375" w14:textId="77777777">
        <w:trPr>
          <w:cantSplit/>
          <w:tblHeader/>
          <w:jc w:val="center"/>
        </w:trPr>
        <w:tc>
          <w:tcPr>
            <w:tcW w:w="2634" w:type="dxa"/>
          </w:tcPr>
          <w:p w14:paraId="33E0A373" w14:textId="77777777" w:rsidR="00DE33BF" w:rsidRDefault="0011572B">
            <w:pPr>
              <w:jc w:val="center"/>
              <w:rPr>
                <w:rFonts w:ascii="Arial" w:eastAsia="Arial" w:hAnsi="Arial" w:cs="Arial"/>
                <w:sz w:val="18"/>
                <w:szCs w:val="18"/>
              </w:rPr>
            </w:pPr>
            <w:r>
              <w:rPr>
                <w:rFonts w:ascii="Arial" w:eastAsia="Arial" w:hAnsi="Arial" w:cs="Arial"/>
                <w:sz w:val="18"/>
                <w:szCs w:val="18"/>
              </w:rPr>
              <w:t>Agree</w:t>
            </w:r>
          </w:p>
        </w:tc>
        <w:tc>
          <w:tcPr>
            <w:tcW w:w="3192" w:type="dxa"/>
          </w:tcPr>
          <w:p w14:paraId="33E0A374" w14:textId="77777777" w:rsidR="00DE33BF" w:rsidRDefault="0011572B">
            <w:pPr>
              <w:jc w:val="center"/>
              <w:rPr>
                <w:rFonts w:ascii="Arial" w:eastAsia="Arial" w:hAnsi="Arial" w:cs="Arial"/>
                <w:sz w:val="18"/>
                <w:szCs w:val="18"/>
              </w:rPr>
            </w:pPr>
            <w:r>
              <w:rPr>
                <w:rFonts w:ascii="Arial" w:eastAsia="Arial" w:hAnsi="Arial" w:cs="Arial"/>
                <w:sz w:val="18"/>
                <w:szCs w:val="18"/>
              </w:rPr>
              <w:t>4</w:t>
            </w:r>
          </w:p>
        </w:tc>
      </w:tr>
      <w:tr w:rsidR="00DE33BF" w14:paraId="33E0A378" w14:textId="77777777">
        <w:trPr>
          <w:cantSplit/>
          <w:tblHeader/>
          <w:jc w:val="center"/>
        </w:trPr>
        <w:tc>
          <w:tcPr>
            <w:tcW w:w="2634" w:type="dxa"/>
          </w:tcPr>
          <w:p w14:paraId="33E0A376" w14:textId="77777777" w:rsidR="00DE33BF" w:rsidRDefault="0011572B">
            <w:pPr>
              <w:jc w:val="center"/>
              <w:rPr>
                <w:rFonts w:ascii="Arial" w:eastAsia="Arial" w:hAnsi="Arial" w:cs="Arial"/>
                <w:sz w:val="18"/>
                <w:szCs w:val="18"/>
              </w:rPr>
            </w:pPr>
            <w:r>
              <w:rPr>
                <w:rFonts w:ascii="Arial" w:eastAsia="Arial" w:hAnsi="Arial" w:cs="Arial"/>
                <w:sz w:val="18"/>
                <w:szCs w:val="18"/>
              </w:rPr>
              <w:t>Not Sure</w:t>
            </w:r>
          </w:p>
        </w:tc>
        <w:tc>
          <w:tcPr>
            <w:tcW w:w="3192" w:type="dxa"/>
          </w:tcPr>
          <w:p w14:paraId="33E0A377" w14:textId="77777777" w:rsidR="00DE33BF" w:rsidRDefault="0011572B">
            <w:pPr>
              <w:jc w:val="center"/>
              <w:rPr>
                <w:rFonts w:ascii="Arial" w:eastAsia="Arial" w:hAnsi="Arial" w:cs="Arial"/>
                <w:sz w:val="18"/>
                <w:szCs w:val="18"/>
              </w:rPr>
            </w:pPr>
            <w:r>
              <w:rPr>
                <w:rFonts w:ascii="Arial" w:eastAsia="Arial" w:hAnsi="Arial" w:cs="Arial"/>
                <w:sz w:val="18"/>
                <w:szCs w:val="18"/>
              </w:rPr>
              <w:t>3</w:t>
            </w:r>
          </w:p>
        </w:tc>
      </w:tr>
      <w:tr w:rsidR="00DE33BF" w14:paraId="33E0A37B" w14:textId="77777777">
        <w:trPr>
          <w:cantSplit/>
          <w:tblHeader/>
          <w:jc w:val="center"/>
        </w:trPr>
        <w:tc>
          <w:tcPr>
            <w:tcW w:w="2634" w:type="dxa"/>
          </w:tcPr>
          <w:p w14:paraId="33E0A379" w14:textId="77777777" w:rsidR="00DE33BF" w:rsidRDefault="0011572B">
            <w:pPr>
              <w:jc w:val="center"/>
              <w:rPr>
                <w:rFonts w:ascii="Arial" w:eastAsia="Arial" w:hAnsi="Arial" w:cs="Arial"/>
                <w:sz w:val="18"/>
                <w:szCs w:val="18"/>
              </w:rPr>
            </w:pPr>
            <w:r>
              <w:rPr>
                <w:rFonts w:ascii="Arial" w:eastAsia="Arial" w:hAnsi="Arial" w:cs="Arial"/>
                <w:sz w:val="18"/>
                <w:szCs w:val="18"/>
              </w:rPr>
              <w:t>Disagree</w:t>
            </w:r>
          </w:p>
        </w:tc>
        <w:tc>
          <w:tcPr>
            <w:tcW w:w="3192" w:type="dxa"/>
          </w:tcPr>
          <w:p w14:paraId="33E0A37A" w14:textId="77777777" w:rsidR="00DE33BF" w:rsidRDefault="0011572B">
            <w:pPr>
              <w:jc w:val="center"/>
              <w:rPr>
                <w:rFonts w:ascii="Arial" w:eastAsia="Arial" w:hAnsi="Arial" w:cs="Arial"/>
                <w:sz w:val="18"/>
                <w:szCs w:val="18"/>
              </w:rPr>
            </w:pPr>
            <w:r>
              <w:rPr>
                <w:rFonts w:ascii="Arial" w:eastAsia="Arial" w:hAnsi="Arial" w:cs="Arial"/>
                <w:sz w:val="18"/>
                <w:szCs w:val="18"/>
              </w:rPr>
              <w:t>2</w:t>
            </w:r>
          </w:p>
        </w:tc>
      </w:tr>
      <w:tr w:rsidR="00DE33BF" w14:paraId="33E0A37E" w14:textId="77777777">
        <w:trPr>
          <w:cantSplit/>
          <w:tblHeader/>
          <w:jc w:val="center"/>
        </w:trPr>
        <w:tc>
          <w:tcPr>
            <w:tcW w:w="2634" w:type="dxa"/>
          </w:tcPr>
          <w:p w14:paraId="33E0A37C" w14:textId="77777777" w:rsidR="00DE33BF" w:rsidRDefault="0011572B">
            <w:pPr>
              <w:jc w:val="center"/>
              <w:rPr>
                <w:rFonts w:ascii="Arial" w:eastAsia="Arial" w:hAnsi="Arial" w:cs="Arial"/>
                <w:sz w:val="18"/>
                <w:szCs w:val="18"/>
              </w:rPr>
            </w:pPr>
            <w:r>
              <w:rPr>
                <w:rFonts w:ascii="Arial" w:eastAsia="Arial" w:hAnsi="Arial" w:cs="Arial"/>
                <w:sz w:val="18"/>
                <w:szCs w:val="18"/>
              </w:rPr>
              <w:t>Strongly Disagree</w:t>
            </w:r>
          </w:p>
        </w:tc>
        <w:tc>
          <w:tcPr>
            <w:tcW w:w="3192" w:type="dxa"/>
          </w:tcPr>
          <w:p w14:paraId="33E0A37D" w14:textId="77777777" w:rsidR="00DE33BF" w:rsidRDefault="0011572B">
            <w:pPr>
              <w:jc w:val="center"/>
              <w:rPr>
                <w:rFonts w:ascii="Arial" w:eastAsia="Arial" w:hAnsi="Arial" w:cs="Arial"/>
                <w:sz w:val="18"/>
                <w:szCs w:val="18"/>
              </w:rPr>
            </w:pPr>
            <w:r>
              <w:rPr>
                <w:rFonts w:ascii="Arial" w:eastAsia="Arial" w:hAnsi="Arial" w:cs="Arial"/>
                <w:sz w:val="18"/>
                <w:szCs w:val="18"/>
              </w:rPr>
              <w:t>1</w:t>
            </w:r>
          </w:p>
        </w:tc>
      </w:tr>
    </w:tbl>
    <w:p w14:paraId="33E0A37F" w14:textId="77777777" w:rsidR="00DE33BF" w:rsidRDefault="00DE33BF">
      <w:pPr>
        <w:spacing w:after="200" w:line="276" w:lineRule="auto"/>
        <w:rPr>
          <w:rFonts w:ascii="Arial" w:eastAsia="Arial" w:hAnsi="Arial" w:cs="Arial"/>
          <w:b/>
          <w:color w:val="000000"/>
          <w:sz w:val="24"/>
          <w:szCs w:val="24"/>
        </w:rPr>
      </w:pPr>
    </w:p>
    <w:p w14:paraId="33E0A380" w14:textId="77777777" w:rsidR="00DE33BF" w:rsidRDefault="0011572B">
      <w:pPr>
        <w:pStyle w:val="Heading1"/>
      </w:pPr>
      <w:r>
        <w:t>CONCLUSION (Arial, Size 12, Capital)</w:t>
      </w:r>
    </w:p>
    <w:p w14:paraId="33E0A381" w14:textId="77777777" w:rsidR="00DE33BF" w:rsidRDefault="0011572B">
      <w:r>
        <w:t xml:space="preserve">Write the conclusion of your paper </w:t>
      </w:r>
      <w:r w:rsidR="00C531B5">
        <w:t>here. Summarize</w:t>
      </w:r>
      <w:r>
        <w:t xml:space="preserve"> the main findings and their significance.</w:t>
      </w:r>
    </w:p>
    <w:p w14:paraId="33E0A382" w14:textId="77777777" w:rsidR="00DE33BF" w:rsidRDefault="00DE33BF"/>
    <w:p w14:paraId="33E0A383" w14:textId="77777777" w:rsidR="00DE33BF" w:rsidRDefault="0011572B">
      <w:pPr>
        <w:tabs>
          <w:tab w:val="left" w:pos="0"/>
        </w:tabs>
        <w:jc w:val="both"/>
      </w:pPr>
      <w:r>
        <w:t xml:space="preserve">If you have more than one paragraph, please insert </w:t>
      </w:r>
      <w:r w:rsidR="00C531B5">
        <w:t>line</w:t>
      </w:r>
      <w:r>
        <w:t xml:space="preserve"> spacing between the paragraphs. Do not insert any space before and after the paragraph. Please insert </w:t>
      </w:r>
      <w:r w:rsidR="00C531B5">
        <w:t>line</w:t>
      </w:r>
      <w:r>
        <w:t xml:space="preserve"> spacing after each paragraph, before the next section.</w:t>
      </w:r>
    </w:p>
    <w:p w14:paraId="33E0A384" w14:textId="77777777" w:rsidR="00DE33BF" w:rsidRDefault="00DE33BF">
      <w:pPr>
        <w:rPr>
          <w:b/>
          <w:color w:val="000000"/>
          <w:sz w:val="24"/>
          <w:szCs w:val="24"/>
        </w:rPr>
      </w:pPr>
    </w:p>
    <w:p w14:paraId="33E0A385" w14:textId="77777777" w:rsidR="00DE33BF" w:rsidRDefault="00C531B5">
      <w:pPr>
        <w:pStyle w:val="Heading1"/>
        <w:rPr>
          <w:i/>
        </w:rPr>
      </w:pPr>
      <w:r>
        <w:t>ACKNOWLEDGEMENTS (</w:t>
      </w:r>
      <w:r w:rsidR="0011572B">
        <w:t>Arial, Size 12, Capital)</w:t>
      </w:r>
    </w:p>
    <w:p w14:paraId="33E0A386" w14:textId="77777777" w:rsidR="00DE33BF" w:rsidRDefault="0011572B">
      <w:pPr>
        <w:jc w:val="both"/>
      </w:pPr>
      <w:r>
        <w:t>Write your acknowledgments here. Acknowledge any individuals, organizations, or funding sources that contributed to the research.</w:t>
      </w:r>
    </w:p>
    <w:p w14:paraId="33E0A387" w14:textId="77777777" w:rsidR="00DE33BF" w:rsidRDefault="00DE33BF">
      <w:pPr>
        <w:jc w:val="both"/>
      </w:pPr>
    </w:p>
    <w:p w14:paraId="33E0A388" w14:textId="77777777" w:rsidR="00DE33BF" w:rsidRDefault="00C531B5">
      <w:pPr>
        <w:pStyle w:val="Heading1"/>
        <w:rPr>
          <w:i/>
        </w:rPr>
      </w:pPr>
      <w:r>
        <w:t>FUNDING (</w:t>
      </w:r>
      <w:r w:rsidR="0011572B">
        <w:t>Arial, Size 12, Capital)</w:t>
      </w:r>
    </w:p>
    <w:p w14:paraId="33E0A389" w14:textId="77777777" w:rsidR="00DE33BF" w:rsidRDefault="0011572B">
      <w:pPr>
        <w:jc w:val="both"/>
      </w:pPr>
      <w:r>
        <w:t xml:space="preserve">Provision of </w:t>
      </w:r>
      <w:r w:rsidR="00C531B5">
        <w:t>Fund: Whether</w:t>
      </w:r>
      <w:r>
        <w:t xml:space="preserve"> the study was partially or fully funded or not funded at all.</w:t>
      </w:r>
      <w:r>
        <w:br/>
        <w:t xml:space="preserve">Please specify any sources of funding (institutional, private, and corporate financial support) for the work reported in the </w:t>
      </w:r>
      <w:r w:rsidR="00C531B5">
        <w:t>paper. If</w:t>
      </w:r>
      <w:r>
        <w:t xml:space="preserve"> there was no funding, the following wording should be used: “This research received no specific grant from any funding agency in the public, commercial, or not-for-profit sectors.”</w:t>
      </w:r>
    </w:p>
    <w:p w14:paraId="33E0A38A" w14:textId="77777777" w:rsidR="00DE33BF" w:rsidRDefault="00DE33BF">
      <w:pPr>
        <w:jc w:val="both"/>
      </w:pPr>
    </w:p>
    <w:p w14:paraId="33E0A38B" w14:textId="77777777" w:rsidR="00DE33BF" w:rsidRDefault="0011572B">
      <w:pPr>
        <w:pStyle w:val="Heading1"/>
        <w:rPr>
          <w:i/>
          <w:color w:val="FF0000"/>
        </w:rPr>
      </w:pPr>
      <w:r>
        <w:t xml:space="preserve">AUTHORS’ </w:t>
      </w:r>
      <w:r w:rsidR="00C531B5">
        <w:t>CONTRIBUTION (</w:t>
      </w:r>
      <w:r>
        <w:t>Arial, Size 12, Capital)</w:t>
      </w:r>
    </w:p>
    <w:p w14:paraId="33E0A38C" w14:textId="77777777" w:rsidR="00DE33BF" w:rsidRDefault="0011572B">
      <w:pPr>
        <w:jc w:val="both"/>
      </w:pPr>
      <w:r>
        <w:rPr>
          <w:i/>
          <w:color w:val="FF0000"/>
        </w:rPr>
        <w:t>[</w:t>
      </w:r>
      <w:r w:rsidR="00C531B5">
        <w:rPr>
          <w:i/>
          <w:color w:val="FF0000"/>
        </w:rPr>
        <w:t>Example</w:t>
      </w:r>
      <w:r>
        <w:rPr>
          <w:i/>
          <w:color w:val="FF0000"/>
        </w:rPr>
        <w:t>]</w:t>
      </w:r>
      <w:r>
        <w:t>Ahmad, B. and Tan, C. formulated and designed the experiments, while Eliza, D. executed the experiments and prepared the data. Ali, D. was responsible for planning and conducting the simulations. Tan, C. played a key role in interpreting the results. Ahmad. B. spearheaded the writing of the manuscript. All authors actively contributed to providing critical feedback, shaping the research, guiding the analysis, and refining the manuscript.</w:t>
      </w:r>
    </w:p>
    <w:p w14:paraId="33E0A38D" w14:textId="77777777" w:rsidR="00DE33BF" w:rsidRDefault="00DE33BF">
      <w:pPr>
        <w:rPr>
          <w:b/>
          <w:color w:val="000000"/>
          <w:sz w:val="24"/>
          <w:szCs w:val="24"/>
        </w:rPr>
      </w:pPr>
    </w:p>
    <w:p w14:paraId="33E0A38E" w14:textId="77777777" w:rsidR="00DE33BF" w:rsidRDefault="0011572B">
      <w:pPr>
        <w:pStyle w:val="Heading1"/>
        <w:rPr>
          <w:i/>
        </w:rPr>
      </w:pPr>
      <w:r>
        <w:t xml:space="preserve">CONFLICT OF INTEREST </w:t>
      </w:r>
      <w:r w:rsidR="00C531B5">
        <w:t>DECLARATION (</w:t>
      </w:r>
      <w:r>
        <w:t>Arial, Size 12, Capital)</w:t>
      </w:r>
    </w:p>
    <w:p w14:paraId="33E0A38F" w14:textId="77777777" w:rsidR="00DE33BF" w:rsidRDefault="0011572B">
      <w:pPr>
        <w:jc w:val="both"/>
      </w:pPr>
      <w:r>
        <w:t>The author(s) must certify that they have No Conflict of Interest in the subject matter or materials discussed in this manuscript.</w:t>
      </w:r>
    </w:p>
    <w:p w14:paraId="33E0A390" w14:textId="77777777" w:rsidR="00DE33BF" w:rsidRDefault="00DE33BF"/>
    <w:p w14:paraId="33E0A391" w14:textId="77777777" w:rsidR="00DE33BF" w:rsidRDefault="0011572B">
      <w:pPr>
        <w:jc w:val="both"/>
        <w:rPr>
          <w:rFonts w:ascii="Arial" w:eastAsia="Arial" w:hAnsi="Arial" w:cs="Arial"/>
          <w:b/>
          <w:sz w:val="24"/>
          <w:szCs w:val="24"/>
        </w:rPr>
      </w:pPr>
      <w:r>
        <w:rPr>
          <w:i/>
          <w:color w:val="FF0000"/>
        </w:rPr>
        <w:t>[</w:t>
      </w:r>
      <w:r w:rsidR="00C531B5">
        <w:rPr>
          <w:i/>
          <w:color w:val="FF0000"/>
        </w:rPr>
        <w:t>Example</w:t>
      </w:r>
      <w:r>
        <w:rPr>
          <w:i/>
          <w:color w:val="FF0000"/>
        </w:rPr>
        <w:t>]</w:t>
      </w:r>
      <w:r>
        <w:t xml:space="preserve">I/We affirm that there is no Conflict of Interest among the author(s) concerning the subject matter or materials discussed in this manuscript. We further certify that the article represents the original work of the Authors and Co-Authors. The manuscript has not been previously published and is not currently under consideration for publication elsewhere. This research/manuscript has neither been submitted for publication nor published in whole or in part elsewhere. We attest that all authors have made significant contributions to the work, ensuring the validity and legitimacy of the data and </w:t>
      </w:r>
      <w:r>
        <w:lastRenderedPageBreak/>
        <w:t>its interpretation, thereby warranting its submission to the Malaysian Journal of Clinical Biochemistry.</w:t>
      </w:r>
    </w:p>
    <w:p w14:paraId="33E0A392" w14:textId="77777777" w:rsidR="00DE33BF" w:rsidRDefault="00DE33BF">
      <w:pPr>
        <w:jc w:val="both"/>
        <w:rPr>
          <w:rFonts w:ascii="Arial" w:eastAsia="Arial" w:hAnsi="Arial" w:cs="Arial"/>
          <w:b/>
          <w:color w:val="000000"/>
          <w:sz w:val="24"/>
          <w:szCs w:val="24"/>
        </w:rPr>
      </w:pPr>
    </w:p>
    <w:p w14:paraId="33E0A393" w14:textId="77777777" w:rsidR="00DE33BF" w:rsidRDefault="0011572B">
      <w:pPr>
        <w:pStyle w:val="Heading1"/>
      </w:pPr>
      <w:r>
        <w:t>REFERENCES (Arial, Size 12, Capital)</w:t>
      </w:r>
    </w:p>
    <w:p w14:paraId="33E0A394" w14:textId="77777777" w:rsidR="00DE33BF" w:rsidRDefault="0011572B">
      <w:pPr>
        <w:rPr>
          <w:b/>
        </w:rPr>
      </w:pPr>
      <w:r>
        <w:rPr>
          <w:rFonts w:ascii="Times" w:eastAsia="Times" w:hAnsi="Times" w:cs="Times"/>
        </w:rPr>
        <w:t xml:space="preserve">Follow </w:t>
      </w:r>
      <w:r>
        <w:rPr>
          <w:rFonts w:ascii="Times" w:eastAsia="Times" w:hAnsi="Times" w:cs="Times"/>
          <w:b/>
        </w:rPr>
        <w:t>APA 7</w:t>
      </w:r>
      <w:r>
        <w:rPr>
          <w:rFonts w:ascii="Times" w:eastAsia="Times" w:hAnsi="Times" w:cs="Times"/>
          <w:b/>
          <w:vertAlign w:val="superscript"/>
        </w:rPr>
        <w:t>th</w:t>
      </w:r>
      <w:r>
        <w:rPr>
          <w:rFonts w:ascii="Times" w:eastAsia="Times" w:hAnsi="Times" w:cs="Times"/>
          <w:b/>
        </w:rPr>
        <w:t xml:space="preserve"> Edition</w:t>
      </w:r>
      <w:r>
        <w:rPr>
          <w:rFonts w:ascii="Times" w:eastAsia="Times" w:hAnsi="Times" w:cs="Times"/>
        </w:rPr>
        <w:t xml:space="preserve"> citation style. Arrange the references in alphabetical order.</w:t>
      </w:r>
    </w:p>
    <w:p w14:paraId="33E0A395" w14:textId="77777777" w:rsidR="00DE33BF" w:rsidRDefault="00DE33BF">
      <w:pPr>
        <w:pBdr>
          <w:top w:val="nil"/>
          <w:left w:val="nil"/>
          <w:bottom w:val="nil"/>
          <w:right w:val="nil"/>
          <w:between w:val="nil"/>
        </w:pBdr>
        <w:tabs>
          <w:tab w:val="left" w:pos="340"/>
        </w:tabs>
        <w:ind w:left="238" w:hanging="238"/>
        <w:jc w:val="both"/>
        <w:rPr>
          <w:b/>
          <w:color w:val="000000"/>
          <w:sz w:val="18"/>
          <w:szCs w:val="18"/>
        </w:rPr>
      </w:pPr>
    </w:p>
    <w:p w14:paraId="33E0A396" w14:textId="77777777" w:rsidR="00DE33BF" w:rsidRDefault="00DE33BF">
      <w:pPr>
        <w:pBdr>
          <w:top w:val="nil"/>
          <w:left w:val="nil"/>
          <w:bottom w:val="nil"/>
          <w:right w:val="nil"/>
          <w:between w:val="nil"/>
        </w:pBdr>
        <w:tabs>
          <w:tab w:val="left" w:pos="1980"/>
        </w:tabs>
        <w:ind w:left="360" w:hanging="360"/>
        <w:jc w:val="both"/>
        <w:rPr>
          <w:color w:val="000000"/>
        </w:rPr>
      </w:pPr>
    </w:p>
    <w:p w14:paraId="33E0A397" w14:textId="77777777" w:rsidR="00DE33BF" w:rsidRDefault="0011572B">
      <w:pPr>
        <w:ind w:left="360" w:hanging="360"/>
        <w:jc w:val="both"/>
      </w:pPr>
      <w:r>
        <w:t xml:space="preserve">Avery, R. J., Bryant, W. K., </w:t>
      </w:r>
      <w:proofErr w:type="spellStart"/>
      <w:r>
        <w:t>Mathios</w:t>
      </w:r>
      <w:proofErr w:type="spellEnd"/>
      <w:r>
        <w:t xml:space="preserve">, A., Kang, H., &amp; Bell, D. (2006). Electronic course evaluations: Does an online delivery system influence student </w:t>
      </w:r>
      <w:proofErr w:type="gramStart"/>
      <w:r>
        <w:t>evaluations</w:t>
      </w:r>
      <w:proofErr w:type="gramEnd"/>
      <w:r>
        <w:t xml:space="preserve">? </w:t>
      </w:r>
      <w:r>
        <w:rPr>
          <w:i/>
        </w:rPr>
        <w:t>The Journal of Economic Education</w:t>
      </w:r>
      <w:r>
        <w:t>,</w:t>
      </w:r>
      <w:r>
        <w:rPr>
          <w:i/>
        </w:rPr>
        <w:t>37</w:t>
      </w:r>
      <w:r>
        <w:t xml:space="preserve">(1), 21–37. </w:t>
      </w:r>
      <w:hyperlink r:id="rId8">
        <w:r>
          <w:rPr>
            <w:color w:val="0000FF"/>
            <w:u w:val="single"/>
          </w:rPr>
          <w:t>https://doi.org/10.3200/JECE.37.1.21-37</w:t>
        </w:r>
      </w:hyperlink>
    </w:p>
    <w:p w14:paraId="33E0A398" w14:textId="77777777" w:rsidR="00DE33BF" w:rsidRDefault="0011572B">
      <w:pPr>
        <w:ind w:left="360" w:hanging="360"/>
        <w:jc w:val="both"/>
      </w:pPr>
      <w:r>
        <w:t xml:space="preserve">Berk, R. A. (2012). Top 20 strategies to increase the online response rates of student rating scales. </w:t>
      </w:r>
      <w:r>
        <w:rPr>
          <w:i/>
        </w:rPr>
        <w:t>International Journal of Technology in Teaching and Learning</w:t>
      </w:r>
      <w:r>
        <w:t xml:space="preserve">, </w:t>
      </w:r>
      <w:r>
        <w:rPr>
          <w:i/>
        </w:rPr>
        <w:t>8</w:t>
      </w:r>
      <w:r>
        <w:t>(2), 98–107.</w:t>
      </w:r>
    </w:p>
    <w:p w14:paraId="33E0A399" w14:textId="77777777" w:rsidR="00DE33BF" w:rsidRDefault="0011572B">
      <w:pPr>
        <w:ind w:left="360" w:hanging="360"/>
        <w:jc w:val="both"/>
      </w:pPr>
      <w:r>
        <w:t xml:space="preserve">Berk, R. A. (2013). </w:t>
      </w:r>
      <w:r>
        <w:rPr>
          <w:i/>
        </w:rPr>
        <w:t>Top 10 flashpoints in student ratings and the evaluation of teaching</w:t>
      </w:r>
      <w:r>
        <w:t>. Stylus.</w:t>
      </w:r>
    </w:p>
    <w:p w14:paraId="33E0A39A" w14:textId="77777777" w:rsidR="00DE33BF" w:rsidRDefault="0011572B">
      <w:pPr>
        <w:ind w:left="360" w:hanging="360"/>
        <w:jc w:val="both"/>
      </w:pPr>
      <w:r>
        <w:t xml:space="preserve">Boysen, G. A. (2015a). Preventing the overinterpretation of small mean differences in student evaluations of teaching: An evaluation of warning effectiveness. </w:t>
      </w:r>
      <w:r>
        <w:rPr>
          <w:i/>
        </w:rPr>
        <w:t>Scholarship of Teaching and Learning in Psychology</w:t>
      </w:r>
      <w:r>
        <w:t xml:space="preserve">, </w:t>
      </w:r>
      <w:r>
        <w:rPr>
          <w:i/>
        </w:rPr>
        <w:t>1</w:t>
      </w:r>
      <w:r>
        <w:t>(4), 269–282.https://doi.org/10.1037/stl0000042</w:t>
      </w:r>
    </w:p>
    <w:p w14:paraId="33E0A39B" w14:textId="77777777" w:rsidR="00DE33BF" w:rsidRDefault="0011572B">
      <w:pPr>
        <w:ind w:left="360" w:hanging="360"/>
        <w:jc w:val="both"/>
      </w:pPr>
      <w:r>
        <w:t xml:space="preserve">Boysen, G. A. (2015b). Significant interpretation of small mean differences in student evaluations of teaching despite explicit warning to avoid overinterpretation. </w:t>
      </w:r>
      <w:r>
        <w:rPr>
          <w:i/>
        </w:rPr>
        <w:t>Scholarship of Teaching and Learning in Psychology</w:t>
      </w:r>
      <w:r>
        <w:t xml:space="preserve">, </w:t>
      </w:r>
      <w:r>
        <w:rPr>
          <w:i/>
        </w:rPr>
        <w:t>1</w:t>
      </w:r>
      <w:r>
        <w:t>(2), 150–162. https://doi.org/10.1037/stl0000017</w:t>
      </w:r>
    </w:p>
    <w:p w14:paraId="33E0A39C" w14:textId="77777777" w:rsidR="00DE33BF" w:rsidRDefault="0011572B">
      <w:pPr>
        <w:ind w:left="360" w:hanging="360"/>
        <w:jc w:val="both"/>
      </w:pPr>
      <w:r>
        <w:t xml:space="preserve">Boysen, G. A., Kelly, T. J., </w:t>
      </w:r>
      <w:proofErr w:type="spellStart"/>
      <w:r>
        <w:t>Raesly</w:t>
      </w:r>
      <w:proofErr w:type="spellEnd"/>
      <w:r>
        <w:t xml:space="preserve">, H. N., &amp; Casner, R. W. (2014). The (mis)interpretation of teaching evaluations by college faculty and administrators. </w:t>
      </w:r>
      <w:r>
        <w:rPr>
          <w:i/>
        </w:rPr>
        <w:t>Assessment &amp; Evaluation in Higher Education</w:t>
      </w:r>
      <w:r>
        <w:t xml:space="preserve">, </w:t>
      </w:r>
      <w:r>
        <w:rPr>
          <w:i/>
        </w:rPr>
        <w:t>39</w:t>
      </w:r>
      <w:r>
        <w:t>(6), 641–656. https://doi.org/10.1080/02602938.2013.860950</w:t>
      </w:r>
    </w:p>
    <w:p w14:paraId="33E0A39D" w14:textId="77777777" w:rsidR="00DE33BF" w:rsidRDefault="0011572B">
      <w:pPr>
        <w:ind w:left="360" w:hanging="360"/>
        <w:jc w:val="both"/>
      </w:pPr>
      <w:r>
        <w:t xml:space="preserve">Buller, J. L. (2012). </w:t>
      </w:r>
      <w:r>
        <w:rPr>
          <w:i/>
        </w:rPr>
        <w:t>Best practices in faculty evaluation: A practical guide for academic leaders</w:t>
      </w:r>
      <w:r>
        <w:t>. Jossey-Bass.</w:t>
      </w:r>
    </w:p>
    <w:p w14:paraId="33E0A39E" w14:textId="77777777" w:rsidR="00DE33BF" w:rsidRDefault="0011572B">
      <w:pPr>
        <w:ind w:left="360" w:hanging="360"/>
        <w:jc w:val="both"/>
      </w:pPr>
      <w:r>
        <w:t xml:space="preserve">Dewar, J. M. (2011). Helping stakeholders understand the limitations of SRT data: Are we doing enough? </w:t>
      </w:r>
      <w:r>
        <w:rPr>
          <w:i/>
        </w:rPr>
        <w:t>Journal of Faculty Development</w:t>
      </w:r>
      <w:r>
        <w:t xml:space="preserve">, </w:t>
      </w:r>
      <w:r>
        <w:rPr>
          <w:i/>
        </w:rPr>
        <w:t>25</w:t>
      </w:r>
      <w:r>
        <w:t>(3), 40–44.</w:t>
      </w:r>
    </w:p>
    <w:p w14:paraId="33E0A39F" w14:textId="77777777" w:rsidR="00DE33BF" w:rsidRDefault="0011572B">
      <w:pPr>
        <w:ind w:left="360" w:hanging="360"/>
        <w:jc w:val="both"/>
      </w:pPr>
      <w:proofErr w:type="spellStart"/>
      <w:r>
        <w:t>Dommeyer</w:t>
      </w:r>
      <w:proofErr w:type="spellEnd"/>
      <w:r>
        <w:t xml:space="preserve">, C. J., Baum, P., &amp; Hanna, R. W. (2002). College students’ attitudes toward methods of collecting teaching evaluations: In-class versus on-line. </w:t>
      </w:r>
      <w:r>
        <w:rPr>
          <w:i/>
        </w:rPr>
        <w:t>Journal of Education for Business</w:t>
      </w:r>
      <w:r>
        <w:t xml:space="preserve">, </w:t>
      </w:r>
      <w:r>
        <w:rPr>
          <w:i/>
        </w:rPr>
        <w:t>78</w:t>
      </w:r>
      <w:r>
        <w:t>(1), 11–15. https://doi.org/10.1080/08832320209599691</w:t>
      </w:r>
    </w:p>
    <w:p w14:paraId="33E0A3A0" w14:textId="77777777" w:rsidR="00DE33BF" w:rsidRDefault="0011572B">
      <w:pPr>
        <w:ind w:left="360" w:hanging="360"/>
        <w:jc w:val="both"/>
      </w:pPr>
      <w:proofErr w:type="spellStart"/>
      <w:r>
        <w:t>Dommeyer</w:t>
      </w:r>
      <w:proofErr w:type="spellEnd"/>
      <w:r>
        <w:t xml:space="preserve">, C. J., Baum, P., Hanna, R. W., &amp; Chapman, K. S. (2004). Gathering faculty teaching evaluations by in-class and online surveys: Their effects on response rates and evaluations. </w:t>
      </w:r>
      <w:r>
        <w:rPr>
          <w:i/>
        </w:rPr>
        <w:t>Assessment &amp; Evaluation in Higher Education</w:t>
      </w:r>
      <w:r>
        <w:t xml:space="preserve">, </w:t>
      </w:r>
      <w:r>
        <w:rPr>
          <w:i/>
        </w:rPr>
        <w:t>29</w:t>
      </w:r>
      <w:r>
        <w:t>(5), 611–623. https://doi.org/10.1080/02602930410001689171</w:t>
      </w:r>
    </w:p>
    <w:p w14:paraId="33E0A3A1" w14:textId="77777777" w:rsidR="00DE33BF" w:rsidRDefault="0011572B">
      <w:pPr>
        <w:ind w:left="360" w:hanging="360"/>
        <w:jc w:val="both"/>
      </w:pPr>
      <w:proofErr w:type="spellStart"/>
      <w:r>
        <w:t>Feistauer</w:t>
      </w:r>
      <w:proofErr w:type="spellEnd"/>
      <w:r>
        <w:t xml:space="preserve">, D., &amp; Richter, T. (2016). How reliable are students’ evaluations of teaching quality? A variance components approach. </w:t>
      </w:r>
      <w:r>
        <w:rPr>
          <w:i/>
        </w:rPr>
        <w:t>Assessment &amp; Evaluation in Higher Education</w:t>
      </w:r>
      <w:r>
        <w:t xml:space="preserve">, </w:t>
      </w:r>
      <w:r>
        <w:rPr>
          <w:i/>
        </w:rPr>
        <w:t>42</w:t>
      </w:r>
      <w:r>
        <w:t>(8), 1263–1279. https://doi.org/10.1080/02602938.2016.1261083</w:t>
      </w:r>
    </w:p>
    <w:p w14:paraId="33E0A3A2" w14:textId="77777777" w:rsidR="00DE33BF" w:rsidRDefault="0011572B">
      <w:pPr>
        <w:ind w:left="360" w:hanging="360"/>
        <w:jc w:val="both"/>
      </w:pPr>
      <w:r>
        <w:t xml:space="preserve">Gilovich, T., Griffin, D., &amp; Kahneman, D. (Eds.). (2002). </w:t>
      </w:r>
      <w:r>
        <w:rPr>
          <w:i/>
        </w:rPr>
        <w:t>Heuristics and biases: The psychology of intuitive judgment</w:t>
      </w:r>
      <w:r>
        <w:t>. Cambridge University Press. https://doi.org/10.1017/CBO9780511808098</w:t>
      </w:r>
    </w:p>
    <w:p w14:paraId="33E0A3A3" w14:textId="77777777" w:rsidR="00DE33BF" w:rsidRDefault="0011572B">
      <w:pPr>
        <w:ind w:left="360" w:hanging="360"/>
        <w:jc w:val="both"/>
      </w:pPr>
      <w:r>
        <w:t xml:space="preserve">Griffin, T. J., Hilton, J., III, Plummer, K., &amp; Barret, D. (2014). Correlation between grade point averages and student evaluation of teaching scores: Taking a closer look. </w:t>
      </w:r>
      <w:r>
        <w:rPr>
          <w:i/>
        </w:rPr>
        <w:t>Assessment &amp; Evaluation in Higher Education</w:t>
      </w:r>
      <w:r>
        <w:t xml:space="preserve">, </w:t>
      </w:r>
      <w:r>
        <w:rPr>
          <w:i/>
        </w:rPr>
        <w:t>39</w:t>
      </w:r>
      <w:r>
        <w:t>(3), 339–348. https://doi.org/10.1080/02602938.2013.831809</w:t>
      </w:r>
    </w:p>
    <w:p w14:paraId="33E0A3A4" w14:textId="77777777" w:rsidR="00DE33BF" w:rsidRDefault="0011572B">
      <w:pPr>
        <w:ind w:left="360" w:hanging="360"/>
        <w:jc w:val="both"/>
      </w:pPr>
      <w:proofErr w:type="spellStart"/>
      <w:r>
        <w:t>Jaquett</w:t>
      </w:r>
      <w:proofErr w:type="spellEnd"/>
      <w:r>
        <w:t xml:space="preserve">, C. M., VanMaaren, V. G., &amp; Williams, R. L. (2016). The effect of extra-credit incentives on student submission of end-of-course evaluations. </w:t>
      </w:r>
      <w:r>
        <w:rPr>
          <w:i/>
        </w:rPr>
        <w:t>Scholarship of Teaching and Learning in Psychology</w:t>
      </w:r>
      <w:r>
        <w:t xml:space="preserve">, </w:t>
      </w:r>
      <w:r>
        <w:rPr>
          <w:i/>
        </w:rPr>
        <w:t>2</w:t>
      </w:r>
      <w:r>
        <w:t>(1), 49–61. https://doi.org/10.1037/stl0000052</w:t>
      </w:r>
    </w:p>
    <w:p w14:paraId="33E0A3A5" w14:textId="77777777" w:rsidR="00DE33BF" w:rsidRDefault="0011572B">
      <w:pPr>
        <w:ind w:left="360" w:hanging="360"/>
        <w:jc w:val="both"/>
      </w:pPr>
      <w:proofErr w:type="spellStart"/>
      <w:r>
        <w:t>Jaquett</w:t>
      </w:r>
      <w:proofErr w:type="spellEnd"/>
      <w:r>
        <w:t xml:space="preserve">, C. M., VanMaaren, V. G., &amp; Williams, R. L. (2017). Course factors that motivate students to submit end-of-course evaluations. </w:t>
      </w:r>
      <w:r>
        <w:rPr>
          <w:i/>
        </w:rPr>
        <w:t>Innovative Higher Education</w:t>
      </w:r>
      <w:r>
        <w:t xml:space="preserve">, </w:t>
      </w:r>
      <w:r>
        <w:rPr>
          <w:i/>
        </w:rPr>
        <w:t>42</w:t>
      </w:r>
      <w:r>
        <w:t>(1), 19–31. https://doi.org/10.1007/s10755-016-9368-5</w:t>
      </w:r>
    </w:p>
    <w:p w14:paraId="33E0A3A6" w14:textId="77777777" w:rsidR="00DE33BF" w:rsidRDefault="0011572B">
      <w:pPr>
        <w:ind w:left="360" w:hanging="360"/>
        <w:jc w:val="both"/>
        <w:rPr>
          <w:color w:val="0000FF"/>
          <w:u w:val="single"/>
        </w:rPr>
      </w:pPr>
      <w:r>
        <w:t xml:space="preserve">Morrison, R. (2011). A comparison of online versus traditional student end-of-course critiques in resident courses. </w:t>
      </w:r>
      <w:r>
        <w:rPr>
          <w:i/>
        </w:rPr>
        <w:t>Assessment &amp; Evaluation in Higher Education</w:t>
      </w:r>
      <w:r>
        <w:t xml:space="preserve">, </w:t>
      </w:r>
      <w:r>
        <w:rPr>
          <w:i/>
        </w:rPr>
        <w:t>36</w:t>
      </w:r>
      <w:r>
        <w:t>(6), 627–641. https://doi.org/10.1080/02602931003632399</w:t>
      </w:r>
    </w:p>
    <w:p w14:paraId="33E0A3A7" w14:textId="77777777" w:rsidR="00DE33BF" w:rsidRDefault="0011572B">
      <w:pPr>
        <w:ind w:left="360" w:hanging="360"/>
        <w:jc w:val="both"/>
      </w:pPr>
      <w:r>
        <w:t xml:space="preserve">Nowell, C., Gale, L. R., &amp; Handley, B. (2010). Assessing faculty performance using student evaluations of teaching in an uncontrolled setting. </w:t>
      </w:r>
      <w:r>
        <w:rPr>
          <w:i/>
        </w:rPr>
        <w:t>Assessment &amp; Evaluation in Higher Education</w:t>
      </w:r>
      <w:r>
        <w:t xml:space="preserve">, </w:t>
      </w:r>
      <w:r>
        <w:rPr>
          <w:i/>
        </w:rPr>
        <w:t>35</w:t>
      </w:r>
      <w:r>
        <w:t>(4), 463–475. https://doi.org/10.1080/02602930902862875</w:t>
      </w:r>
    </w:p>
    <w:p w14:paraId="33E0A3A8" w14:textId="77777777" w:rsidR="00DE33BF" w:rsidRDefault="0011572B">
      <w:pPr>
        <w:ind w:left="360" w:hanging="360"/>
        <w:jc w:val="both"/>
      </w:pPr>
      <w:r>
        <w:lastRenderedPageBreak/>
        <w:t xml:space="preserve">Nulty, D. D. (2008). The adequacy of response rates to online and paper surveys: What can be done? </w:t>
      </w:r>
      <w:r>
        <w:rPr>
          <w:i/>
        </w:rPr>
        <w:t>Assessment &amp; Evaluation in Higher Education</w:t>
      </w:r>
      <w:r>
        <w:t xml:space="preserve">, </w:t>
      </w:r>
      <w:r>
        <w:rPr>
          <w:i/>
        </w:rPr>
        <w:t>33</w:t>
      </w:r>
      <w:r>
        <w:t>(3), 301–314. https://doi.org/10.1080/02602930701293231</w:t>
      </w:r>
    </w:p>
    <w:p w14:paraId="33E0A3A9" w14:textId="77777777" w:rsidR="00DE33BF" w:rsidRDefault="0011572B">
      <w:pPr>
        <w:ind w:left="360" w:hanging="360"/>
        <w:jc w:val="both"/>
      </w:pPr>
      <w:r>
        <w:t xml:space="preserve">Palmer, M. S., Bach, D. J., &amp; Streifer, A. C. (2014). Measuring the promise: A learning-focused syllabus rubric. </w:t>
      </w:r>
      <w:r>
        <w:rPr>
          <w:i/>
        </w:rPr>
        <w:t>To Improve the Academy: A Journal of Educational Development</w:t>
      </w:r>
      <w:r>
        <w:t xml:space="preserve">, </w:t>
      </w:r>
      <w:r>
        <w:rPr>
          <w:i/>
        </w:rPr>
        <w:t>33</w:t>
      </w:r>
      <w:r>
        <w:t>(1), 14–36. https://doi.org/10.1002/tia2.20004</w:t>
      </w:r>
    </w:p>
    <w:p w14:paraId="33E0A3AA" w14:textId="77777777" w:rsidR="00DE33BF" w:rsidRDefault="0011572B">
      <w:pPr>
        <w:ind w:left="360" w:hanging="360"/>
        <w:jc w:val="both"/>
      </w:pPr>
      <w:r>
        <w:t xml:space="preserve">Reiner, C. M., &amp; Arnold, K. E. (2010). Online course evaluation: Student and instructor perspectives and assessment potential. </w:t>
      </w:r>
      <w:r>
        <w:rPr>
          <w:i/>
        </w:rPr>
        <w:t>Assessment Update</w:t>
      </w:r>
      <w:r>
        <w:t xml:space="preserve">, </w:t>
      </w:r>
      <w:r>
        <w:rPr>
          <w:i/>
        </w:rPr>
        <w:t>22</w:t>
      </w:r>
      <w:r>
        <w:t>(2), 8–10. https://doi.org/10.1002/au.222</w:t>
      </w:r>
    </w:p>
    <w:p w14:paraId="33E0A3AB" w14:textId="77777777" w:rsidR="00DE33BF" w:rsidRDefault="0011572B">
      <w:pPr>
        <w:ind w:left="360" w:hanging="360"/>
        <w:jc w:val="both"/>
      </w:pPr>
      <w:proofErr w:type="spellStart"/>
      <w:r>
        <w:t>Risquez</w:t>
      </w:r>
      <w:proofErr w:type="spellEnd"/>
      <w:r>
        <w:t xml:space="preserve">, A., Vaughan, E., &amp; Murphy, M. (2015). Online student evaluations of teaching: What are we sacrificing for the affordances of technology? </w:t>
      </w:r>
      <w:r>
        <w:rPr>
          <w:i/>
        </w:rPr>
        <w:t>Assessment &amp; Evaluation in Higher Education</w:t>
      </w:r>
      <w:r>
        <w:t xml:space="preserve">, </w:t>
      </w:r>
      <w:r>
        <w:rPr>
          <w:i/>
        </w:rPr>
        <w:t>40</w:t>
      </w:r>
      <w:r>
        <w:t>(1), 210–234. https://doi.org/10.1080/02602938.2014.890695</w:t>
      </w:r>
    </w:p>
    <w:p w14:paraId="33E0A3AC" w14:textId="77777777" w:rsidR="00DE33BF" w:rsidRDefault="0011572B">
      <w:pPr>
        <w:ind w:left="360" w:hanging="360"/>
        <w:jc w:val="both"/>
      </w:pPr>
      <w:proofErr w:type="spellStart"/>
      <w:r>
        <w:t>Spooren</w:t>
      </w:r>
      <w:proofErr w:type="spellEnd"/>
      <w:r>
        <w:t xml:space="preserve">, P., </w:t>
      </w:r>
      <w:proofErr w:type="spellStart"/>
      <w:r>
        <w:t>Brockx</w:t>
      </w:r>
      <w:proofErr w:type="spellEnd"/>
      <w:r>
        <w:t>, B., &amp;</w:t>
      </w:r>
      <w:proofErr w:type="spellStart"/>
      <w:r>
        <w:t>Mortelmans</w:t>
      </w:r>
      <w:proofErr w:type="spellEnd"/>
      <w:r>
        <w:t xml:space="preserve">, D. (2013). On the validity of student evaluation of teaching: The state of the art. </w:t>
      </w:r>
      <w:r>
        <w:rPr>
          <w:i/>
        </w:rPr>
        <w:t>Review of Educational Research</w:t>
      </w:r>
      <w:r>
        <w:t xml:space="preserve">, </w:t>
      </w:r>
      <w:r>
        <w:rPr>
          <w:i/>
        </w:rPr>
        <w:t>83</w:t>
      </w:r>
      <w:r>
        <w:t>(4), 598–642. https://doi.org/10.3102/0034654313496870</w:t>
      </w:r>
    </w:p>
    <w:p w14:paraId="33E0A3AD" w14:textId="77777777" w:rsidR="00DE33BF" w:rsidRDefault="0011572B">
      <w:pPr>
        <w:ind w:left="360" w:hanging="360"/>
        <w:jc w:val="both"/>
      </w:pPr>
      <w:r>
        <w:t xml:space="preserve">Stanny, C. J., Gonzalez, M., &amp; McGowan, B. (2015). Assessing the culture of teaching and learning through a syllabus review. </w:t>
      </w:r>
      <w:r>
        <w:rPr>
          <w:i/>
        </w:rPr>
        <w:t>Assessment &amp; Evaluation in Higher Education</w:t>
      </w:r>
      <w:r>
        <w:t xml:space="preserve">, </w:t>
      </w:r>
      <w:r>
        <w:rPr>
          <w:i/>
        </w:rPr>
        <w:t>40</w:t>
      </w:r>
      <w:r>
        <w:t>(7), 898–913. https://doi.org/10.1080/02602938.2014.956684</w:t>
      </w:r>
    </w:p>
    <w:p w14:paraId="33E0A3AE" w14:textId="77777777" w:rsidR="00DE33BF" w:rsidRDefault="0011572B">
      <w:pPr>
        <w:ind w:left="360" w:hanging="360"/>
        <w:jc w:val="both"/>
      </w:pPr>
      <w:r>
        <w:t xml:space="preserve">Stark, P. B., &amp;Freishtat, R. (2014). An evaluation of course evaluations. </w:t>
      </w:r>
      <w:proofErr w:type="spellStart"/>
      <w:r>
        <w:rPr>
          <w:i/>
        </w:rPr>
        <w:t>ScienceOpen</w:t>
      </w:r>
      <w:proofErr w:type="spellEnd"/>
      <w:r>
        <w:rPr>
          <w:i/>
        </w:rPr>
        <w:t xml:space="preserve"> Research</w:t>
      </w:r>
      <w:r>
        <w:t>. https://doi.org/10.14293/S2199-1006.1.SOR-EDU.AOFRQA.v1</w:t>
      </w:r>
    </w:p>
    <w:p w14:paraId="33E0A3AF" w14:textId="77777777" w:rsidR="00DE33BF" w:rsidRDefault="0011572B">
      <w:pPr>
        <w:ind w:left="360" w:hanging="360"/>
        <w:jc w:val="both"/>
      </w:pPr>
      <w:r>
        <w:t xml:space="preserve">Stowell, J. R., Addison, W. E., &amp; Smith, J. L. (2012). Comparison of online and classroom-based student evaluations of instruction. </w:t>
      </w:r>
      <w:r>
        <w:rPr>
          <w:i/>
        </w:rPr>
        <w:t>Assessment &amp; Evaluation in Higher Education</w:t>
      </w:r>
      <w:r>
        <w:t xml:space="preserve">, </w:t>
      </w:r>
      <w:r>
        <w:rPr>
          <w:i/>
        </w:rPr>
        <w:t>37</w:t>
      </w:r>
      <w:r>
        <w:t>(4), 465–473. https://doi.org/10.1080/02602938.2010.545869</w:t>
      </w:r>
    </w:p>
    <w:p w14:paraId="33E0A3B0" w14:textId="77777777" w:rsidR="00DE33BF" w:rsidRDefault="0011572B">
      <w:pPr>
        <w:ind w:left="360" w:hanging="360"/>
        <w:jc w:val="both"/>
      </w:pPr>
      <w:r>
        <w:t xml:space="preserve">Tversky, A., &amp; Kahneman, D. (1971). Belief in the law of small numbers. </w:t>
      </w:r>
      <w:r>
        <w:rPr>
          <w:i/>
        </w:rPr>
        <w:t>Psychological Bulletin</w:t>
      </w:r>
      <w:r>
        <w:t xml:space="preserve">, </w:t>
      </w:r>
      <w:r>
        <w:rPr>
          <w:i/>
        </w:rPr>
        <w:t>76</w:t>
      </w:r>
      <w:r>
        <w:t>(2), 105–110. https://doi.org/10.1037/h0031322</w:t>
      </w:r>
    </w:p>
    <w:p w14:paraId="33E0A3B1" w14:textId="77777777" w:rsidR="00DE33BF" w:rsidRDefault="00DE33BF">
      <w:pPr>
        <w:pBdr>
          <w:top w:val="nil"/>
          <w:left w:val="nil"/>
          <w:bottom w:val="nil"/>
          <w:right w:val="nil"/>
          <w:between w:val="nil"/>
        </w:pBdr>
        <w:tabs>
          <w:tab w:val="left" w:pos="1980"/>
        </w:tabs>
        <w:ind w:left="360" w:hanging="360"/>
        <w:jc w:val="both"/>
        <w:rPr>
          <w:color w:val="000000"/>
        </w:rPr>
      </w:pPr>
    </w:p>
    <w:sectPr w:rsidR="00DE33BF" w:rsidSect="00DE33BF">
      <w:headerReference w:type="default" r:id="rId9"/>
      <w:headerReference w:type="first" r:id="rId10"/>
      <w:footerReference w:type="first" r:id="rId11"/>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0A3B6" w14:textId="77777777" w:rsidR="0011572B" w:rsidRDefault="0011572B" w:rsidP="00DE33BF">
      <w:r>
        <w:separator/>
      </w:r>
    </w:p>
  </w:endnote>
  <w:endnote w:type="continuationSeparator" w:id="0">
    <w:p w14:paraId="33E0A3B7" w14:textId="77777777" w:rsidR="0011572B" w:rsidRDefault="0011572B" w:rsidP="00DE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240969"/>
      <w:docPartObj>
        <w:docPartGallery w:val="Page Numbers (Bottom of Page)"/>
        <w:docPartUnique/>
      </w:docPartObj>
    </w:sdtPr>
    <w:sdtEndPr/>
    <w:sdtContent>
      <w:p w14:paraId="33E0A3BD" w14:textId="77777777" w:rsidR="00CD1D2F" w:rsidRDefault="00206874">
        <w:pPr>
          <w:pStyle w:val="Footer"/>
          <w:jc w:val="right"/>
        </w:pPr>
        <w:r>
          <w:fldChar w:fldCharType="begin"/>
        </w:r>
        <w:r>
          <w:instrText xml:space="preserve"> PAGE   \* MERGEFORMAT </w:instrText>
        </w:r>
        <w:r>
          <w:fldChar w:fldCharType="separate"/>
        </w:r>
        <w:r w:rsidR="0039596E">
          <w:rPr>
            <w:noProof/>
          </w:rPr>
          <w:t>1</w:t>
        </w:r>
        <w:r>
          <w:rPr>
            <w:noProof/>
          </w:rPr>
          <w:fldChar w:fldCharType="end"/>
        </w:r>
      </w:p>
    </w:sdtContent>
  </w:sdt>
  <w:p w14:paraId="33E0A3BE" w14:textId="77777777" w:rsidR="00DE33BF" w:rsidRDefault="00DE33B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0A3B4" w14:textId="77777777" w:rsidR="0011572B" w:rsidRDefault="0011572B" w:rsidP="00DE33BF">
      <w:r>
        <w:separator/>
      </w:r>
    </w:p>
  </w:footnote>
  <w:footnote w:type="continuationSeparator" w:id="0">
    <w:p w14:paraId="33E0A3B5" w14:textId="77777777" w:rsidR="0011572B" w:rsidRDefault="0011572B" w:rsidP="00DE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0A3B8" w14:textId="77777777" w:rsidR="00DE33BF" w:rsidRDefault="00C531B5">
    <w:pPr>
      <w:pBdr>
        <w:top w:val="nil"/>
        <w:left w:val="nil"/>
        <w:bottom w:val="nil"/>
        <w:right w:val="nil"/>
        <w:between w:val="nil"/>
      </w:pBdr>
      <w:tabs>
        <w:tab w:val="center" w:pos="4320"/>
        <w:tab w:val="right" w:pos="8640"/>
      </w:tabs>
      <w:jc w:val="center"/>
      <w:rPr>
        <w:color w:val="000000"/>
      </w:rPr>
    </w:pPr>
    <w:r>
      <w:rPr>
        <w:color w:val="000000"/>
      </w:rPr>
      <w:t>First Author names et al.</w:t>
    </w:r>
    <w:r w:rsidR="00533719">
      <w:rPr>
        <w:color w:val="000000"/>
      </w:rPr>
      <w:t xml:space="preserve"> (e.g. Othman</w:t>
    </w:r>
    <w:r w:rsidR="0039596E">
      <w:rPr>
        <w:color w:val="000000"/>
      </w:rPr>
      <w:t xml:space="preserve"> M.I. et al.)</w:t>
    </w:r>
  </w:p>
  <w:p w14:paraId="33E0A3B9" w14:textId="77777777" w:rsidR="00DE33BF" w:rsidRDefault="00C531B5">
    <w:pPr>
      <w:pBdr>
        <w:top w:val="nil"/>
        <w:left w:val="nil"/>
        <w:bottom w:val="nil"/>
        <w:right w:val="nil"/>
        <w:between w:val="nil"/>
      </w:pBdr>
      <w:tabs>
        <w:tab w:val="center" w:pos="4320"/>
        <w:tab w:val="right" w:pos="8640"/>
      </w:tabs>
      <w:jc w:val="center"/>
      <w:rPr>
        <w:color w:val="000000"/>
      </w:rPr>
    </w:pPr>
    <w:proofErr w:type="spellStart"/>
    <w:r>
      <w:rPr>
        <w:color w:val="000000"/>
      </w:rPr>
      <w:t>MJCB.year;</w:t>
    </w:r>
    <w:r w:rsidR="0011572B">
      <w:rPr>
        <w:color w:val="000000"/>
      </w:rPr>
      <w:t>Issue</w:t>
    </w:r>
    <w:proofErr w:type="spellEnd"/>
    <w:r>
      <w:rPr>
        <w:color w:val="000000"/>
      </w:rPr>
      <w:t>(Volume):page</w:t>
    </w:r>
    <w:r w:rsidR="0039596E">
      <w:rPr>
        <w:color w:val="000000"/>
      </w:rPr>
      <w:t xml:space="preserve"> [e.g. MJCB.2024;1(1):1-13]</w:t>
    </w:r>
  </w:p>
  <w:p w14:paraId="33E0A3BA" w14:textId="77777777" w:rsidR="00DE33BF" w:rsidRDefault="00DE33B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4E0CC" w14:textId="4C3A2CF9" w:rsidR="00131BA3" w:rsidRDefault="002B4D67" w:rsidP="00EA3B00">
    <w:pPr>
      <w:pBdr>
        <w:top w:val="nil"/>
        <w:left w:val="nil"/>
        <w:bottom w:val="nil"/>
        <w:right w:val="nil"/>
        <w:between w:val="nil"/>
      </w:pBdr>
      <w:tabs>
        <w:tab w:val="center" w:pos="4320"/>
        <w:tab w:val="right" w:pos="8640"/>
      </w:tabs>
      <w:jc w:val="center"/>
      <w:rPr>
        <w:color w:val="000000"/>
        <w:sz w:val="24"/>
        <w:szCs w:val="24"/>
      </w:rPr>
    </w:pPr>
    <w:r>
      <w:rPr>
        <w:noProof/>
        <w:color w:val="000000"/>
        <w:sz w:val="24"/>
        <w:szCs w:val="24"/>
      </w:rPr>
      <w:drawing>
        <wp:inline distT="0" distB="0" distL="0" distR="0" wp14:anchorId="72E5A9A2" wp14:editId="766109F8">
          <wp:extent cx="1810663" cy="906780"/>
          <wp:effectExtent l="0" t="0" r="0" b="0"/>
          <wp:docPr id="203366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143" cy="910526"/>
                  </a:xfrm>
                  <a:prstGeom prst="rect">
                    <a:avLst/>
                  </a:prstGeom>
                  <a:noFill/>
                  <a:ln>
                    <a:noFill/>
                  </a:ln>
                </pic:spPr>
              </pic:pic>
            </a:graphicData>
          </a:graphic>
        </wp:inline>
      </w:drawing>
    </w:r>
  </w:p>
  <w:p w14:paraId="0D97E930" w14:textId="7B492753" w:rsidR="00131BA3" w:rsidRDefault="00131BA3" w:rsidP="00131BA3">
    <w:pPr>
      <w:pBdr>
        <w:top w:val="nil"/>
        <w:left w:val="nil"/>
        <w:bottom w:val="single" w:sz="6" w:space="1" w:color="auto"/>
        <w:right w:val="nil"/>
        <w:between w:val="nil"/>
      </w:pBdr>
      <w:tabs>
        <w:tab w:val="center" w:pos="4320"/>
        <w:tab w:val="right" w:pos="8640"/>
      </w:tabs>
      <w:rPr>
        <w:color w:val="000000"/>
        <w:sz w:val="24"/>
        <w:szCs w:val="24"/>
      </w:rPr>
    </w:pPr>
  </w:p>
  <w:p w14:paraId="33E0A3BC" w14:textId="77777777" w:rsidR="00DE33BF" w:rsidRDefault="00DE33BF">
    <w:pPr>
      <w:pBdr>
        <w:top w:val="nil"/>
        <w:left w:val="nil"/>
        <w:bottom w:val="nil"/>
        <w:right w:val="nil"/>
        <w:between w:val="nil"/>
      </w:pBdr>
      <w:tabs>
        <w:tab w:val="center" w:pos="4320"/>
        <w:tab w:val="right" w:pos="8640"/>
      </w:tabs>
      <w:jc w:val="cente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BF"/>
    <w:rsid w:val="0011572B"/>
    <w:rsid w:val="00131BA3"/>
    <w:rsid w:val="00206874"/>
    <w:rsid w:val="002B4D67"/>
    <w:rsid w:val="0039596E"/>
    <w:rsid w:val="004E6400"/>
    <w:rsid w:val="00533719"/>
    <w:rsid w:val="00565C3A"/>
    <w:rsid w:val="005D2BA9"/>
    <w:rsid w:val="006550C2"/>
    <w:rsid w:val="00C531B5"/>
    <w:rsid w:val="00CD1D2F"/>
    <w:rsid w:val="00D1422B"/>
    <w:rsid w:val="00DE33BF"/>
    <w:rsid w:val="00EA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3E0A32B"/>
  <w15:docId w15:val="{3FC4E2AE-5067-49E6-B658-B4048E32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50C"/>
  </w:style>
  <w:style w:type="paragraph" w:styleId="Heading1">
    <w:name w:val="heading 1"/>
    <w:basedOn w:val="Normal"/>
    <w:next w:val="Normal"/>
    <w:link w:val="Heading1Char"/>
    <w:uiPriority w:val="9"/>
    <w:qFormat/>
    <w:rsid w:val="00EE7659"/>
    <w:pPr>
      <w:keepNext/>
      <w:keepLines/>
      <w:spacing w:before="240" w:after="240"/>
      <w:outlineLvl w:val="0"/>
    </w:pPr>
    <w:rPr>
      <w:rFonts w:ascii="Arial" w:eastAsiaTheme="majorEastAsia" w:hAnsi="Arial" w:cstheme="majorBidi"/>
      <w:b/>
      <w:bCs/>
      <w:color w:val="000000" w:themeColor="text1"/>
      <w:sz w:val="24"/>
      <w:szCs w:val="28"/>
    </w:rPr>
  </w:style>
  <w:style w:type="paragraph" w:styleId="Heading2">
    <w:name w:val="heading 2"/>
    <w:basedOn w:val="Normal"/>
    <w:next w:val="Normal"/>
    <w:link w:val="Heading2Char"/>
    <w:qFormat/>
    <w:rsid w:val="00EE7659"/>
    <w:pPr>
      <w:keepNext/>
      <w:spacing w:before="240" w:after="240"/>
      <w:outlineLvl w:val="1"/>
    </w:pPr>
    <w:rPr>
      <w:rFonts w:ascii="Arial" w:hAnsi="Arial"/>
      <w:b/>
      <w:kern w:val="28"/>
    </w:rPr>
  </w:style>
  <w:style w:type="paragraph" w:styleId="Heading3">
    <w:name w:val="heading 3"/>
    <w:basedOn w:val="Normal"/>
    <w:next w:val="Normal"/>
    <w:link w:val="Heading3Char"/>
    <w:uiPriority w:val="9"/>
    <w:unhideWhenUsed/>
    <w:qFormat/>
    <w:rsid w:val="00EE7659"/>
    <w:pPr>
      <w:keepNext/>
      <w:keepLines/>
      <w:spacing w:before="240"/>
      <w:outlineLvl w:val="2"/>
    </w:pPr>
    <w:rPr>
      <w:rFonts w:ascii="Arial" w:eastAsiaTheme="majorEastAsia" w:hAnsi="Arial" w:cstheme="majorBidi"/>
      <w:b/>
      <w:bCs/>
      <w:color w:val="000000" w:themeColor="text1"/>
    </w:rPr>
  </w:style>
  <w:style w:type="paragraph" w:styleId="Heading4">
    <w:name w:val="heading 4"/>
    <w:basedOn w:val="Normal1"/>
    <w:next w:val="Normal1"/>
    <w:rsid w:val="00DE33BF"/>
    <w:pPr>
      <w:keepNext/>
      <w:keepLines/>
      <w:spacing w:before="240" w:after="40"/>
      <w:outlineLvl w:val="3"/>
    </w:pPr>
    <w:rPr>
      <w:b/>
      <w:sz w:val="24"/>
      <w:szCs w:val="24"/>
    </w:rPr>
  </w:style>
  <w:style w:type="paragraph" w:styleId="Heading5">
    <w:name w:val="heading 5"/>
    <w:basedOn w:val="Normal"/>
    <w:next w:val="Normal"/>
    <w:link w:val="Heading5Char"/>
    <w:rsid w:val="00CE25B1"/>
    <w:pPr>
      <w:spacing w:before="240" w:after="60"/>
      <w:outlineLvl w:val="4"/>
    </w:pPr>
    <w:rPr>
      <w:b/>
      <w:snapToGrid w:val="0"/>
      <w:kern w:val="22"/>
    </w:rPr>
  </w:style>
  <w:style w:type="paragraph" w:styleId="Heading6">
    <w:name w:val="heading 6"/>
    <w:basedOn w:val="Normal1"/>
    <w:next w:val="Normal1"/>
    <w:rsid w:val="00DE33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33BF"/>
  </w:style>
  <w:style w:type="paragraph" w:styleId="Title">
    <w:name w:val="Title"/>
    <w:basedOn w:val="Normal1"/>
    <w:next w:val="Normal1"/>
    <w:rsid w:val="00DE33BF"/>
    <w:pPr>
      <w:keepNext/>
      <w:keepLines/>
      <w:spacing w:before="480" w:after="120"/>
    </w:pPr>
    <w:rPr>
      <w:b/>
      <w:sz w:val="72"/>
      <w:szCs w:val="72"/>
    </w:rPr>
  </w:style>
  <w:style w:type="character" w:customStyle="1" w:styleId="Heading2Char">
    <w:name w:val="Heading 2 Char"/>
    <w:basedOn w:val="DefaultParagraphFont"/>
    <w:link w:val="Heading2"/>
    <w:rsid w:val="00EE7659"/>
    <w:rPr>
      <w:rFonts w:ascii="Arial" w:eastAsia="Times New Roman" w:hAnsi="Arial" w:cs="Times New Roman"/>
      <w:b/>
      <w:kern w:val="28"/>
    </w:rPr>
  </w:style>
  <w:style w:type="character" w:customStyle="1" w:styleId="Heading5Char">
    <w:name w:val="Heading 5 Char"/>
    <w:basedOn w:val="DefaultParagraphFont"/>
    <w:link w:val="Heading5"/>
    <w:rsid w:val="00CE25B1"/>
    <w:rPr>
      <w:rFonts w:ascii="Garamond" w:eastAsia="Times New Roman" w:hAnsi="Garamond" w:cs="Times New Roman"/>
      <w:b/>
      <w:snapToGrid w:val="0"/>
      <w:kern w:val="22"/>
    </w:rPr>
  </w:style>
  <w:style w:type="paragraph" w:customStyle="1" w:styleId="Dates">
    <w:name w:val="Date(s)"/>
    <w:basedOn w:val="Normal"/>
    <w:qFormat/>
    <w:rsid w:val="00EA7D28"/>
    <w:pPr>
      <w:jc w:val="center"/>
    </w:pPr>
  </w:style>
  <w:style w:type="paragraph" w:styleId="ListParagraph">
    <w:name w:val="List Paragraph"/>
    <w:basedOn w:val="Normal"/>
    <w:uiPriority w:val="34"/>
    <w:qFormat/>
    <w:rsid w:val="00CE25B1"/>
    <w:pPr>
      <w:spacing w:after="200" w:line="276" w:lineRule="auto"/>
      <w:ind w:left="720"/>
      <w:contextualSpacing/>
    </w:pPr>
    <w:rPr>
      <w:rFonts w:ascii="Calibri" w:eastAsia="Calibri" w:hAnsi="Calibri"/>
      <w:lang w:val="en-GB"/>
    </w:rPr>
  </w:style>
  <w:style w:type="paragraph" w:customStyle="1" w:styleId="Abstracttitle">
    <w:name w:val="Abstract (title)"/>
    <w:basedOn w:val="Normal"/>
    <w:qFormat/>
    <w:rsid w:val="00EA7D28"/>
    <w:pPr>
      <w:keepNext/>
      <w:spacing w:before="120" w:after="120"/>
      <w:jc w:val="center"/>
      <w:outlineLvl w:val="3"/>
    </w:pPr>
    <w:rPr>
      <w:b/>
    </w:rPr>
  </w:style>
  <w:style w:type="paragraph" w:customStyle="1" w:styleId="papertitle">
    <w:name w:val="paper title"/>
    <w:rsid w:val="008C581F"/>
    <w:pPr>
      <w:jc w:val="center"/>
    </w:pPr>
    <w:rPr>
      <w:rFonts w:ascii="Arial" w:eastAsia="MS Mincho" w:hAnsi="Arial"/>
      <w:b/>
      <w:noProof/>
      <w:sz w:val="28"/>
      <w:szCs w:val="48"/>
    </w:rPr>
  </w:style>
  <w:style w:type="paragraph" w:customStyle="1" w:styleId="Abstract">
    <w:name w:val="Abstract"/>
    <w:rsid w:val="008C581F"/>
    <w:pPr>
      <w:jc w:val="both"/>
    </w:pPr>
    <w:rPr>
      <w:rFonts w:eastAsia="SimSun"/>
      <w:bCs/>
      <w:i/>
      <w:szCs w:val="18"/>
    </w:rPr>
  </w:style>
  <w:style w:type="paragraph" w:styleId="BalloonText">
    <w:name w:val="Balloon Text"/>
    <w:basedOn w:val="Normal"/>
    <w:link w:val="BalloonTextChar"/>
    <w:uiPriority w:val="99"/>
    <w:semiHidden/>
    <w:unhideWhenUsed/>
    <w:rsid w:val="00CE25B1"/>
    <w:rPr>
      <w:rFonts w:ascii="Tahoma" w:hAnsi="Tahoma" w:cs="Tahoma"/>
      <w:sz w:val="16"/>
      <w:szCs w:val="16"/>
    </w:rPr>
  </w:style>
  <w:style w:type="character" w:customStyle="1" w:styleId="BalloonTextChar">
    <w:name w:val="Balloon Text Char"/>
    <w:basedOn w:val="DefaultParagraphFont"/>
    <w:link w:val="BalloonText"/>
    <w:uiPriority w:val="99"/>
    <w:semiHidden/>
    <w:rsid w:val="00CE25B1"/>
    <w:rPr>
      <w:rFonts w:ascii="Tahoma" w:eastAsia="Times New Roman" w:hAnsi="Tahoma" w:cs="Tahoma"/>
      <w:sz w:val="16"/>
      <w:szCs w:val="16"/>
    </w:rPr>
  </w:style>
  <w:style w:type="paragraph" w:customStyle="1" w:styleId="Default">
    <w:name w:val="Default"/>
    <w:rsid w:val="00F5594E"/>
    <w:pPr>
      <w:autoSpaceDE w:val="0"/>
      <w:autoSpaceDN w:val="0"/>
      <w:adjustRightInd w:val="0"/>
    </w:pPr>
    <w:rPr>
      <w:rFonts w:eastAsia="Calibri"/>
      <w:color w:val="000000"/>
      <w:sz w:val="24"/>
      <w:szCs w:val="24"/>
      <w:lang w:val="en-GB"/>
    </w:rPr>
  </w:style>
  <w:style w:type="table" w:styleId="TableGrid">
    <w:name w:val="Table Grid"/>
    <w:basedOn w:val="TableNormal"/>
    <w:uiPriority w:val="59"/>
    <w:rsid w:val="00EB2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7659"/>
    <w:rPr>
      <w:rFonts w:ascii="Arial" w:eastAsiaTheme="majorEastAsia" w:hAnsi="Arial" w:cstheme="majorBidi"/>
      <w:b/>
      <w:bCs/>
      <w:color w:val="000000" w:themeColor="text1"/>
      <w:sz w:val="24"/>
      <w:szCs w:val="28"/>
    </w:rPr>
  </w:style>
  <w:style w:type="character" w:customStyle="1" w:styleId="Heading3Char">
    <w:name w:val="Heading 3 Char"/>
    <w:basedOn w:val="DefaultParagraphFont"/>
    <w:link w:val="Heading3"/>
    <w:uiPriority w:val="9"/>
    <w:rsid w:val="00EE7659"/>
    <w:rPr>
      <w:rFonts w:ascii="Arial" w:eastAsiaTheme="majorEastAsia" w:hAnsi="Arial" w:cstheme="majorBidi"/>
      <w:b/>
      <w:bCs/>
      <w:color w:val="000000" w:themeColor="text1"/>
    </w:rPr>
  </w:style>
  <w:style w:type="paragraph" w:customStyle="1" w:styleId="Figure">
    <w:name w:val="Figure"/>
    <w:basedOn w:val="Normal"/>
    <w:qFormat/>
    <w:rsid w:val="00EE7659"/>
    <w:pPr>
      <w:spacing w:after="120"/>
      <w:jc w:val="center"/>
    </w:pPr>
    <w:rPr>
      <w:rFonts w:ascii="Arial" w:hAnsi="Arial"/>
      <w:b/>
      <w:sz w:val="18"/>
    </w:rPr>
  </w:style>
  <w:style w:type="paragraph" w:customStyle="1" w:styleId="Table">
    <w:name w:val="Table"/>
    <w:basedOn w:val="Figure"/>
    <w:qFormat/>
    <w:rsid w:val="00EE7659"/>
    <w:pPr>
      <w:spacing w:after="0"/>
    </w:pPr>
  </w:style>
  <w:style w:type="paragraph" w:customStyle="1" w:styleId="AuthorName">
    <w:name w:val="Author Name"/>
    <w:basedOn w:val="Normal"/>
    <w:qFormat/>
    <w:rsid w:val="00EA7D28"/>
    <w:pPr>
      <w:jc w:val="center"/>
    </w:pPr>
    <w:rPr>
      <w:b/>
      <w:color w:val="000000"/>
      <w:lang w:val="en-CA" w:eastAsia="en-MY"/>
    </w:rPr>
  </w:style>
  <w:style w:type="paragraph" w:customStyle="1" w:styleId="Adress">
    <w:name w:val="Adress"/>
    <w:basedOn w:val="Normal"/>
    <w:qFormat/>
    <w:rsid w:val="00EA7D28"/>
    <w:pPr>
      <w:jc w:val="center"/>
    </w:pPr>
    <w:rPr>
      <w:i/>
      <w:color w:val="000000"/>
      <w:lang w:val="en-CA" w:eastAsia="en-MY"/>
    </w:rPr>
  </w:style>
  <w:style w:type="paragraph" w:customStyle="1" w:styleId="Email">
    <w:name w:val="Email"/>
    <w:basedOn w:val="Normal"/>
    <w:qFormat/>
    <w:rsid w:val="00EA7D28"/>
    <w:pPr>
      <w:jc w:val="center"/>
    </w:pPr>
    <w:rPr>
      <w:i/>
      <w:lang w:val="en-CA"/>
    </w:rPr>
  </w:style>
  <w:style w:type="paragraph" w:styleId="Header">
    <w:name w:val="header"/>
    <w:basedOn w:val="Normal"/>
    <w:link w:val="HeaderChar"/>
    <w:uiPriority w:val="99"/>
    <w:rsid w:val="00904BD9"/>
    <w:pPr>
      <w:tabs>
        <w:tab w:val="center" w:pos="4320"/>
        <w:tab w:val="right" w:pos="8640"/>
      </w:tabs>
    </w:pPr>
    <w:rPr>
      <w:sz w:val="24"/>
      <w:szCs w:val="24"/>
    </w:rPr>
  </w:style>
  <w:style w:type="character" w:customStyle="1" w:styleId="HeaderChar">
    <w:name w:val="Header Char"/>
    <w:basedOn w:val="DefaultParagraphFont"/>
    <w:link w:val="Header"/>
    <w:uiPriority w:val="99"/>
    <w:rsid w:val="00904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4BD9"/>
    <w:pPr>
      <w:tabs>
        <w:tab w:val="center" w:pos="4513"/>
        <w:tab w:val="right" w:pos="9026"/>
      </w:tabs>
    </w:pPr>
  </w:style>
  <w:style w:type="character" w:customStyle="1" w:styleId="FooterChar">
    <w:name w:val="Footer Char"/>
    <w:basedOn w:val="DefaultParagraphFont"/>
    <w:link w:val="Footer"/>
    <w:uiPriority w:val="99"/>
    <w:rsid w:val="00904BD9"/>
    <w:rPr>
      <w:rFonts w:ascii="Times New Roman" w:eastAsia="Times New Roman" w:hAnsi="Times New Roman" w:cs="Times New Roman"/>
    </w:rPr>
  </w:style>
  <w:style w:type="paragraph" w:styleId="BodyTextIndent">
    <w:name w:val="Body Text Indent"/>
    <w:basedOn w:val="Normal"/>
    <w:link w:val="BodyTextIndentChar"/>
    <w:rsid w:val="004974A2"/>
    <w:pPr>
      <w:tabs>
        <w:tab w:val="left" w:pos="720"/>
      </w:tabs>
      <w:spacing w:line="480" w:lineRule="auto"/>
      <w:ind w:left="720" w:hanging="720"/>
      <w:jc w:val="both"/>
    </w:pPr>
    <w:rPr>
      <w:color w:val="000000"/>
      <w:sz w:val="24"/>
      <w:szCs w:val="24"/>
    </w:rPr>
  </w:style>
  <w:style w:type="character" w:customStyle="1" w:styleId="BodyTextIndentChar">
    <w:name w:val="Body Text Indent Char"/>
    <w:basedOn w:val="DefaultParagraphFont"/>
    <w:link w:val="BodyTextIndent"/>
    <w:rsid w:val="004974A2"/>
    <w:rPr>
      <w:rFonts w:ascii="Times New Roman" w:eastAsia="Times New Roman" w:hAnsi="Times New Roman" w:cs="Times New Roman"/>
      <w:color w:val="000000"/>
      <w:sz w:val="24"/>
      <w:szCs w:val="24"/>
    </w:rPr>
  </w:style>
  <w:style w:type="paragraph" w:customStyle="1" w:styleId="reference">
    <w:name w:val="reference"/>
    <w:basedOn w:val="Normal"/>
    <w:rsid w:val="004974A2"/>
    <w:pPr>
      <w:tabs>
        <w:tab w:val="left" w:pos="340"/>
      </w:tabs>
      <w:overflowPunct w:val="0"/>
      <w:autoSpaceDE w:val="0"/>
      <w:autoSpaceDN w:val="0"/>
      <w:adjustRightInd w:val="0"/>
      <w:spacing w:line="200" w:lineRule="atLeast"/>
      <w:ind w:left="238" w:hanging="238"/>
      <w:jc w:val="both"/>
      <w:textAlignment w:val="baseline"/>
    </w:pPr>
    <w:rPr>
      <w:rFonts w:eastAsia="SimSun"/>
      <w:sz w:val="18"/>
      <w:szCs w:val="20"/>
      <w:lang w:eastAsia="de-DE"/>
    </w:rPr>
  </w:style>
  <w:style w:type="paragraph" w:customStyle="1" w:styleId="ColorfulList-Accent11">
    <w:name w:val="Colorful List - Accent 11"/>
    <w:basedOn w:val="Normal"/>
    <w:qFormat/>
    <w:rsid w:val="004974A2"/>
    <w:pPr>
      <w:ind w:left="720"/>
    </w:pPr>
    <w:rPr>
      <w:rFonts w:ascii="Arial" w:eastAsia="Batang" w:hAnsi="Arial"/>
      <w:szCs w:val="24"/>
      <w:lang w:eastAsia="ko-KR"/>
    </w:rPr>
  </w:style>
  <w:style w:type="character" w:styleId="Hyperlink">
    <w:name w:val="Hyperlink"/>
    <w:basedOn w:val="DefaultParagraphFont"/>
    <w:uiPriority w:val="99"/>
    <w:unhideWhenUsed/>
    <w:rsid w:val="00C37DEA"/>
    <w:rPr>
      <w:color w:val="0000FF" w:themeColor="hyperlink"/>
      <w:u w:val="single"/>
    </w:rPr>
  </w:style>
  <w:style w:type="character" w:customStyle="1" w:styleId="UnresolvedMention1">
    <w:name w:val="Unresolved Mention1"/>
    <w:basedOn w:val="DefaultParagraphFont"/>
    <w:uiPriority w:val="99"/>
    <w:semiHidden/>
    <w:unhideWhenUsed/>
    <w:rsid w:val="00C37DEA"/>
    <w:rPr>
      <w:color w:val="605E5C"/>
      <w:shd w:val="clear" w:color="auto" w:fill="E1DFDD"/>
    </w:rPr>
  </w:style>
  <w:style w:type="character" w:styleId="Emphasis">
    <w:name w:val="Emphasis"/>
    <w:basedOn w:val="DefaultParagraphFont"/>
    <w:uiPriority w:val="20"/>
    <w:qFormat/>
    <w:rsid w:val="00393192"/>
    <w:rPr>
      <w:i/>
      <w:iCs/>
    </w:rPr>
  </w:style>
  <w:style w:type="paragraph" w:styleId="Subtitle">
    <w:name w:val="Subtitle"/>
    <w:basedOn w:val="Normal"/>
    <w:next w:val="Normal"/>
    <w:rsid w:val="00DE33BF"/>
    <w:pPr>
      <w:keepNext/>
      <w:keepLines/>
      <w:spacing w:before="360" w:after="80"/>
    </w:pPr>
    <w:rPr>
      <w:rFonts w:ascii="Georgia" w:eastAsia="Georgia" w:hAnsi="Georgia" w:cs="Georgia"/>
      <w:i/>
      <w:color w:val="666666"/>
      <w:sz w:val="48"/>
      <w:szCs w:val="48"/>
    </w:rPr>
  </w:style>
  <w:style w:type="table" w:customStyle="1" w:styleId="a">
    <w:basedOn w:val="TableNormal"/>
    <w:rsid w:val="00DE33BF"/>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3200/JECE.37.1.21-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6/+HrtAKhvdwGKa48YuK0yGpA==">CgMxLjAyCGguZ2pkZ3hzOAByITFlMDRqU0pBeUttWWp0Ym9wSkl5NmdOZDA3d0htdGtsVw==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FSKM_JSK_KK</dc:creator>
  <cp:lastModifiedBy>Malaysian Association of Clinical Biochemists (MACB)</cp:lastModifiedBy>
  <cp:revision>2</cp:revision>
  <dcterms:created xsi:type="dcterms:W3CDTF">2024-06-21T08:25:00Z</dcterms:created>
  <dcterms:modified xsi:type="dcterms:W3CDTF">2024-06-21T08:25:00Z</dcterms:modified>
</cp:coreProperties>
</file>